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2BAF5" w14:textId="77777777" w:rsidR="00C2461C" w:rsidRDefault="00C2461C" w:rsidP="00C2461C">
      <w:pPr>
        <w:spacing w:after="120" w:line="240" w:lineRule="auto"/>
        <w:jc w:val="both"/>
        <w:rPr>
          <w:rFonts w:ascii="Times New Roman" w:hAnsi="Times New Roman" w:cs="Times New Roman"/>
          <w:b/>
          <w:sz w:val="24"/>
          <w:szCs w:val="24"/>
        </w:rPr>
      </w:pPr>
      <w:r w:rsidRPr="00C362DB">
        <w:rPr>
          <w:rFonts w:ascii="Times New Roman" w:hAnsi="Times New Roman" w:cs="Times New Roman"/>
          <w:b/>
          <w:sz w:val="24"/>
          <w:szCs w:val="24"/>
        </w:rPr>
        <w:t>O IMPACTO DA INFLAÇÃO NO ENDIVIDAMENTO D</w:t>
      </w:r>
      <w:r>
        <w:rPr>
          <w:rFonts w:ascii="Times New Roman" w:hAnsi="Times New Roman" w:cs="Times New Roman"/>
          <w:b/>
          <w:sz w:val="24"/>
          <w:szCs w:val="24"/>
        </w:rPr>
        <w:t>AS INSTITUIÇÕES FINANCEIRAS BRASILEIRAS</w:t>
      </w:r>
    </w:p>
    <w:p w14:paraId="3077A31A" w14:textId="4530C81D" w:rsidR="00A6077A" w:rsidRPr="00A6077A" w:rsidRDefault="00C2461C" w:rsidP="00514782">
      <w:pPr>
        <w:pStyle w:val="ecxmsonormal"/>
        <w:shd w:val="clear" w:color="auto" w:fill="FFFFFF"/>
        <w:spacing w:before="0" w:beforeAutospacing="0" w:after="120" w:afterAutospacing="0"/>
        <w:jc w:val="center"/>
        <w:rPr>
          <w:b/>
        </w:rPr>
      </w:pPr>
      <w:r w:rsidRPr="00A6077A">
        <w:rPr>
          <w:b/>
        </w:rPr>
        <w:t>RESUMO</w:t>
      </w:r>
    </w:p>
    <w:p w14:paraId="3CDCE8C0" w14:textId="53669263" w:rsidR="00A6077A" w:rsidRPr="00A6077A" w:rsidRDefault="00A6077A" w:rsidP="00A6077A">
      <w:pPr>
        <w:pStyle w:val="ecxmsonormal"/>
        <w:shd w:val="clear" w:color="auto" w:fill="FFFFFF"/>
        <w:spacing w:before="0" w:beforeAutospacing="0" w:after="120" w:afterAutospacing="0"/>
        <w:jc w:val="both"/>
      </w:pPr>
      <w:r>
        <w:t xml:space="preserve">As instituições financeiras são entidades naturalmente alavancadas, que se utilizam do capital de terceiros para obter lucro em suas operações. O papel de intermediário financeiro </w:t>
      </w:r>
      <w:r w:rsidR="000F12A5">
        <w:t>oferece</w:t>
      </w:r>
      <w:r>
        <w:t xml:space="preserve"> a estas instituições o contexto necessário para se utilizar da alavancagem financeira para obter lucro. Dentre as diversas variáveis determinantes no nível de endividamento destas</w:t>
      </w:r>
      <w:r w:rsidR="00C2461C">
        <w:t xml:space="preserve"> instituições</w:t>
      </w:r>
      <w:r>
        <w:t xml:space="preserve">, </w:t>
      </w:r>
      <w:r w:rsidRPr="00C362DB">
        <w:t xml:space="preserve">Hortlund (2005) </w:t>
      </w:r>
      <w:r>
        <w:t xml:space="preserve">destaca a inflação como tendo papel central neste fenômeno. </w:t>
      </w:r>
      <w:r w:rsidRPr="00A6077A">
        <w:t xml:space="preserve">Este estudo buscou verificar como a inflação influencia no endividamento das instituições financeiras </w:t>
      </w:r>
      <w:r>
        <w:t>brasileiras</w:t>
      </w:r>
      <w:r w:rsidRPr="00A6077A">
        <w:t>. Para isto, analisou</w:t>
      </w:r>
      <w:r w:rsidR="00D7431A">
        <w:t>-se</w:t>
      </w:r>
      <w:r w:rsidRPr="00A6077A">
        <w:t xml:space="preserve"> os dados dos bancos </w:t>
      </w:r>
      <w:r w:rsidR="00D7431A">
        <w:t xml:space="preserve">brasileiros </w:t>
      </w:r>
      <w:r w:rsidRPr="00A6077A">
        <w:t xml:space="preserve">do período de 1996 a 2013, sendo relacionadas com outras </w:t>
      </w:r>
      <w:r w:rsidR="00345E6A">
        <w:t>variáveis com o intuito de</w:t>
      </w:r>
      <w:r w:rsidRPr="00A6077A">
        <w:t xml:space="preserve"> atribuir mai</w:t>
      </w:r>
      <w:r w:rsidR="000F12A5">
        <w:t>or</w:t>
      </w:r>
      <w:r w:rsidRPr="00A6077A">
        <w:t xml:space="preserve"> consistência ao modelo utilizado. Mediante regressões de dados em painel</w:t>
      </w:r>
      <w:r>
        <w:t xml:space="preserve"> balanceado e desbalanceado</w:t>
      </w:r>
      <w:r w:rsidR="00345E6A">
        <w:t>,</w:t>
      </w:r>
      <w:r w:rsidR="001A73F3">
        <w:t xml:space="preserve"> os resultados indicam que</w:t>
      </w:r>
      <w:r w:rsidR="000F12A5">
        <w:t>,</w:t>
      </w:r>
      <w:r w:rsidR="001A73F3">
        <w:t xml:space="preserve"> diferente da hipótese defendida por </w:t>
      </w:r>
      <w:r w:rsidR="001A73F3" w:rsidRPr="00C362DB">
        <w:t>Hortlund (2005)</w:t>
      </w:r>
      <w:r w:rsidR="001A73F3">
        <w:t xml:space="preserve">, a inflação impacta negativamente no endividamento auferido pelas instituições financeiras no período analisado. </w:t>
      </w:r>
      <w:r w:rsidR="007C0625">
        <w:t>Outros achados do trabalho indicam que as variáveis representativas do aumento das operações destas instituições, tais como</w:t>
      </w:r>
      <w:r w:rsidR="00C2461C">
        <w:t>,</w:t>
      </w:r>
      <w:r w:rsidR="007C0625">
        <w:t xml:space="preserve"> o crescimento do PIB, crescimento dos Ativos e Empréstimos/Ativos impactam positivamente no endividamento das instituições financeiras, indicando que estas estão mais propensas a se endividar quando podem aplicar este capital em </w:t>
      </w:r>
      <w:proofErr w:type="gramStart"/>
      <w:r w:rsidR="007C0625">
        <w:t>operações</w:t>
      </w:r>
      <w:proofErr w:type="gramEnd"/>
      <w:r w:rsidR="007C0625">
        <w:t xml:space="preserve"> produtivas. </w:t>
      </w:r>
      <w:r w:rsidR="007C0625" w:rsidRPr="009205BE">
        <w:t>Por fim, foi achado que as diretrizes constantes nos Acordos de Capital Basileia II e Basileia III</w:t>
      </w:r>
      <w:r w:rsidR="00C2461C" w:rsidRPr="00BC483D">
        <w:t>,</w:t>
      </w:r>
      <w:r w:rsidR="007C0625" w:rsidRPr="00BC483D">
        <w:t xml:space="preserve"> as quais foram seguidas pelo sistema financeiro nacional</w:t>
      </w:r>
      <w:r w:rsidR="00C2461C" w:rsidRPr="00CB2CEC">
        <w:t>,</w:t>
      </w:r>
      <w:r w:rsidR="007C0625" w:rsidRPr="00CB2CEC">
        <w:t xml:space="preserve"> influenciaram o endividamento das instituições financeiras negativamente, tornando estas menos alavancadas.</w:t>
      </w:r>
    </w:p>
    <w:p w14:paraId="1D6E765C" w14:textId="3510C7DD" w:rsidR="00A6077A" w:rsidRDefault="00A6077A" w:rsidP="00514782">
      <w:pPr>
        <w:pStyle w:val="ecxmsonormal"/>
        <w:shd w:val="clear" w:color="auto" w:fill="FFFFFF"/>
        <w:spacing w:before="0" w:beforeAutospacing="0" w:after="0" w:afterAutospacing="0"/>
        <w:jc w:val="both"/>
      </w:pPr>
      <w:r w:rsidRPr="00A6077A">
        <w:rPr>
          <w:b/>
          <w:bCs/>
        </w:rPr>
        <w:t> Palavras-Chave:</w:t>
      </w:r>
      <w:r w:rsidRPr="00A6077A">
        <w:rPr>
          <w:rStyle w:val="apple-converted-space"/>
          <w:b/>
          <w:bCs/>
        </w:rPr>
        <w:t> </w:t>
      </w:r>
      <w:r w:rsidRPr="00A6077A">
        <w:t>Endividamento; Inflação; Instituições Financeiras</w:t>
      </w:r>
      <w:r w:rsidR="002A2D39">
        <w:t>;</w:t>
      </w:r>
      <w:r w:rsidR="001A73F3">
        <w:t xml:space="preserve"> Acordo de Basileia</w:t>
      </w:r>
      <w:r w:rsidR="00A72247">
        <w:t>.</w:t>
      </w:r>
    </w:p>
    <w:p w14:paraId="143BB9B5" w14:textId="77777777" w:rsidR="00514782" w:rsidRDefault="00514782" w:rsidP="00514782">
      <w:pPr>
        <w:pStyle w:val="ecxmsonormal"/>
        <w:shd w:val="clear" w:color="auto" w:fill="FFFFFF"/>
        <w:spacing w:before="240" w:beforeAutospacing="0" w:after="120" w:afterAutospacing="0"/>
        <w:jc w:val="both"/>
      </w:pPr>
    </w:p>
    <w:p w14:paraId="26A3BA84" w14:textId="0122C277" w:rsidR="00187859" w:rsidRPr="00FC4870" w:rsidRDefault="00187859" w:rsidP="00187859">
      <w:pPr>
        <w:spacing w:after="120" w:line="240" w:lineRule="auto"/>
        <w:jc w:val="both"/>
        <w:rPr>
          <w:rFonts w:ascii="Times New Roman" w:hAnsi="Times New Roman" w:cs="Times New Roman"/>
          <w:b/>
          <w:sz w:val="24"/>
          <w:szCs w:val="24"/>
          <w:lang w:val="en-GB"/>
        </w:rPr>
      </w:pPr>
      <w:r w:rsidRPr="00FC4870">
        <w:rPr>
          <w:rFonts w:ascii="Times New Roman" w:hAnsi="Times New Roman" w:cs="Times New Roman"/>
          <w:b/>
          <w:sz w:val="24"/>
          <w:szCs w:val="24"/>
          <w:lang w:val="en-GB"/>
        </w:rPr>
        <w:t xml:space="preserve">THE IMPACT OF INFLATION ON </w:t>
      </w:r>
      <w:r w:rsidR="00D11B5A" w:rsidRPr="00FC4870">
        <w:rPr>
          <w:rFonts w:ascii="Times New Roman" w:hAnsi="Times New Roman" w:cs="Times New Roman"/>
          <w:b/>
          <w:sz w:val="24"/>
          <w:szCs w:val="24"/>
          <w:lang w:val="en-GB"/>
        </w:rPr>
        <w:t xml:space="preserve">LEVEL OF </w:t>
      </w:r>
      <w:r w:rsidRPr="00FC4870">
        <w:rPr>
          <w:rFonts w:ascii="Times New Roman" w:hAnsi="Times New Roman" w:cs="Times New Roman"/>
          <w:b/>
          <w:sz w:val="24"/>
          <w:szCs w:val="24"/>
          <w:lang w:val="en-GB"/>
        </w:rPr>
        <w:t xml:space="preserve">DEBT OF BRAZILIAN FINANCIAL INSTITUTIONS </w:t>
      </w:r>
    </w:p>
    <w:p w14:paraId="5755002A" w14:textId="35BC4F51" w:rsidR="00514782" w:rsidRPr="00FC4870" w:rsidRDefault="00514782" w:rsidP="002A2D39">
      <w:pPr>
        <w:pStyle w:val="ecxmsonormal"/>
        <w:shd w:val="clear" w:color="auto" w:fill="FFFFFF"/>
        <w:spacing w:before="0" w:beforeAutospacing="0" w:after="120" w:afterAutospacing="0"/>
        <w:jc w:val="center"/>
        <w:rPr>
          <w:lang w:val="en-GB"/>
        </w:rPr>
      </w:pPr>
      <w:r w:rsidRPr="00FC4870">
        <w:rPr>
          <w:lang w:val="en-GB"/>
        </w:rPr>
        <w:t>ABSTRACT</w:t>
      </w:r>
    </w:p>
    <w:p w14:paraId="4BD4FE12" w14:textId="7A9869F5" w:rsidR="002A2D39" w:rsidRPr="00FC4870" w:rsidRDefault="002A2D39" w:rsidP="002A2D39">
      <w:pPr>
        <w:pStyle w:val="ecxmsonormal"/>
        <w:shd w:val="clear" w:color="auto" w:fill="FFFFFF"/>
        <w:spacing w:before="0" w:beforeAutospacing="0" w:after="120" w:afterAutospacing="0"/>
        <w:jc w:val="both"/>
        <w:rPr>
          <w:lang w:val="en-GB"/>
        </w:rPr>
      </w:pPr>
      <w:r w:rsidRPr="00FC4870">
        <w:rPr>
          <w:lang w:val="en-GB"/>
        </w:rPr>
        <w:t xml:space="preserve">Financial institutions are naturally leveraged </w:t>
      </w:r>
      <w:r w:rsidR="00D7431A" w:rsidRPr="00FC4870">
        <w:rPr>
          <w:lang w:val="en-GB"/>
        </w:rPr>
        <w:t xml:space="preserve">companies </w:t>
      </w:r>
      <w:r w:rsidRPr="00FC4870">
        <w:rPr>
          <w:lang w:val="en-GB"/>
        </w:rPr>
        <w:t xml:space="preserve">that use </w:t>
      </w:r>
      <w:r w:rsidR="00D7431A" w:rsidRPr="00FC4870">
        <w:rPr>
          <w:lang w:val="en-GB"/>
        </w:rPr>
        <w:t xml:space="preserve">their </w:t>
      </w:r>
      <w:r w:rsidRPr="00FC4870">
        <w:rPr>
          <w:lang w:val="en-GB"/>
        </w:rPr>
        <w:t xml:space="preserve">debt </w:t>
      </w:r>
      <w:r w:rsidR="00D7431A" w:rsidRPr="00FC4870">
        <w:rPr>
          <w:lang w:val="en-GB"/>
        </w:rPr>
        <w:t xml:space="preserve">to aim for </w:t>
      </w:r>
      <w:r w:rsidRPr="00FC4870">
        <w:rPr>
          <w:lang w:val="en-GB"/>
        </w:rPr>
        <w:t xml:space="preserve">profit in their operations. The role of financial intermediary gives </w:t>
      </w:r>
      <w:proofErr w:type="gramStart"/>
      <w:r w:rsidRPr="00FC4870">
        <w:rPr>
          <w:lang w:val="en-GB"/>
        </w:rPr>
        <w:t>these</w:t>
      </w:r>
      <w:proofErr w:type="gramEnd"/>
      <w:r w:rsidRPr="00FC4870">
        <w:rPr>
          <w:lang w:val="en-GB"/>
        </w:rPr>
        <w:t xml:space="preserve"> institutions the context needed to use financial leverage for profit. Among the different variables used in debt levels of these institutions, Hortlund (2005) highlights inflation as having a central role in this phenomenon. This study </w:t>
      </w:r>
      <w:r w:rsidR="00D7431A" w:rsidRPr="00FC4870">
        <w:rPr>
          <w:lang w:val="en-GB"/>
        </w:rPr>
        <w:t xml:space="preserve">aimed to find out </w:t>
      </w:r>
      <w:r w:rsidRPr="00FC4870">
        <w:rPr>
          <w:lang w:val="en-GB"/>
        </w:rPr>
        <w:t xml:space="preserve">how inflation influences the debt of Brazilian financial institutions. </w:t>
      </w:r>
      <w:r w:rsidR="009F0F26" w:rsidRPr="00FC4870">
        <w:rPr>
          <w:lang w:val="en-GB"/>
        </w:rPr>
        <w:t xml:space="preserve">To achieve </w:t>
      </w:r>
      <w:r w:rsidRPr="00FC4870">
        <w:rPr>
          <w:lang w:val="en-GB"/>
        </w:rPr>
        <w:t>this</w:t>
      </w:r>
      <w:r w:rsidR="009F0F26" w:rsidRPr="00FC4870">
        <w:rPr>
          <w:lang w:val="en-GB"/>
        </w:rPr>
        <w:t xml:space="preserve"> goal</w:t>
      </w:r>
      <w:r w:rsidRPr="00FC4870">
        <w:rPr>
          <w:lang w:val="en-GB"/>
        </w:rPr>
        <w:t xml:space="preserve">, data </w:t>
      </w:r>
      <w:r w:rsidR="00D7431A" w:rsidRPr="00FC4870">
        <w:rPr>
          <w:lang w:val="en-GB"/>
        </w:rPr>
        <w:t xml:space="preserve">of </w:t>
      </w:r>
      <w:proofErr w:type="spellStart"/>
      <w:proofErr w:type="gramStart"/>
      <w:r w:rsidR="00D7431A" w:rsidRPr="00FC4870">
        <w:rPr>
          <w:lang w:val="en-GB"/>
        </w:rPr>
        <w:t>brazilian</w:t>
      </w:r>
      <w:proofErr w:type="spellEnd"/>
      <w:proofErr w:type="gramEnd"/>
      <w:r w:rsidR="00D7431A" w:rsidRPr="00FC4870">
        <w:rPr>
          <w:lang w:val="en-GB"/>
        </w:rPr>
        <w:t xml:space="preserve"> </w:t>
      </w:r>
      <w:r w:rsidRPr="00FC4870">
        <w:rPr>
          <w:lang w:val="en-GB"/>
        </w:rPr>
        <w:t>banks from 1996 to 2013</w:t>
      </w:r>
      <w:r w:rsidR="00D7431A" w:rsidRPr="00FC4870">
        <w:rPr>
          <w:lang w:val="en-GB"/>
        </w:rPr>
        <w:t xml:space="preserve"> were </w:t>
      </w:r>
      <w:proofErr w:type="spellStart"/>
      <w:r w:rsidR="00D7431A" w:rsidRPr="00FC4870">
        <w:rPr>
          <w:lang w:val="en-GB"/>
        </w:rPr>
        <w:t>analyzed</w:t>
      </w:r>
      <w:proofErr w:type="spellEnd"/>
      <w:r w:rsidRPr="00FC4870">
        <w:rPr>
          <w:lang w:val="en-GB"/>
        </w:rPr>
        <w:t xml:space="preserve">, being related to other variables in order to allocate more consistency of the model used. Through </w:t>
      </w:r>
      <w:r w:rsidR="009841E4" w:rsidRPr="00FC4870">
        <w:rPr>
          <w:lang w:val="en-GB"/>
        </w:rPr>
        <w:t>balanced and unbalanced panel data regressions</w:t>
      </w:r>
      <w:r w:rsidR="00D7431A" w:rsidRPr="00FC4870">
        <w:rPr>
          <w:lang w:val="en-GB"/>
        </w:rPr>
        <w:t>,</w:t>
      </w:r>
      <w:r w:rsidRPr="00FC4870">
        <w:rPr>
          <w:lang w:val="en-GB"/>
        </w:rPr>
        <w:t xml:space="preserve"> results indicate that different from the hypothesis defended by Hortlund (2005), inflation has a negative impact on debt earned by financial institutions during the period. Other findings of the study indicate that the representative variables of increased operations of these institutions, such as GDP gro</w:t>
      </w:r>
      <w:r w:rsidR="00187859" w:rsidRPr="00FC4870">
        <w:rPr>
          <w:lang w:val="en-GB"/>
        </w:rPr>
        <w:t>wth, growth of assets and loans</w:t>
      </w:r>
      <w:r w:rsidRPr="00FC4870">
        <w:rPr>
          <w:lang w:val="en-GB"/>
        </w:rPr>
        <w:t xml:space="preserve">/assets positively </w:t>
      </w:r>
      <w:proofErr w:type="gramStart"/>
      <w:r w:rsidRPr="00FC4870">
        <w:rPr>
          <w:lang w:val="en-GB"/>
        </w:rPr>
        <w:t>impact</w:t>
      </w:r>
      <w:proofErr w:type="gramEnd"/>
      <w:r w:rsidRPr="00FC4870">
        <w:rPr>
          <w:lang w:val="en-GB"/>
        </w:rPr>
        <w:t xml:space="preserve"> the leverage of financial institutions, indicating that these are more likely to go into debt when they can apply this capital in productive operations. Finally, it </w:t>
      </w:r>
      <w:proofErr w:type="gramStart"/>
      <w:r w:rsidRPr="00FC4870">
        <w:rPr>
          <w:lang w:val="en-GB"/>
        </w:rPr>
        <w:t xml:space="preserve">was found </w:t>
      </w:r>
      <w:r w:rsidR="00D7431A" w:rsidRPr="00FC4870">
        <w:rPr>
          <w:lang w:val="en-GB"/>
        </w:rPr>
        <w:t>out</w:t>
      </w:r>
      <w:proofErr w:type="gramEnd"/>
      <w:r w:rsidR="00D7431A" w:rsidRPr="00FC4870">
        <w:rPr>
          <w:lang w:val="en-GB"/>
        </w:rPr>
        <w:t xml:space="preserve"> </w:t>
      </w:r>
      <w:r w:rsidRPr="00FC4870">
        <w:rPr>
          <w:lang w:val="en-GB"/>
        </w:rPr>
        <w:t xml:space="preserve">that the guidelines contained in the Capital Accords Basel II and Basel III, which were </w:t>
      </w:r>
      <w:r w:rsidR="00D7431A" w:rsidRPr="00FC4870">
        <w:rPr>
          <w:lang w:val="en-GB"/>
        </w:rPr>
        <w:t xml:space="preserve">required </w:t>
      </w:r>
      <w:r w:rsidRPr="00FC4870">
        <w:rPr>
          <w:lang w:val="en-GB"/>
        </w:rPr>
        <w:t xml:space="preserve">by the national financial system, influenced negatively the </w:t>
      </w:r>
      <w:r w:rsidR="00D7431A" w:rsidRPr="00FC4870">
        <w:rPr>
          <w:lang w:val="en-GB"/>
        </w:rPr>
        <w:t xml:space="preserve">levels of debt </w:t>
      </w:r>
      <w:r w:rsidRPr="00FC4870">
        <w:rPr>
          <w:lang w:val="en-GB"/>
        </w:rPr>
        <w:t>of financial institutions, making them less leveraged.</w:t>
      </w:r>
    </w:p>
    <w:p w14:paraId="3F0261F5" w14:textId="5FD03EED" w:rsidR="00514782" w:rsidRPr="00FC4870" w:rsidRDefault="00514782" w:rsidP="00514782">
      <w:pPr>
        <w:pStyle w:val="ecxmsonormal"/>
        <w:shd w:val="clear" w:color="auto" w:fill="FFFFFF"/>
        <w:spacing w:before="0" w:beforeAutospacing="0" w:after="120" w:afterAutospacing="0"/>
        <w:jc w:val="both"/>
        <w:rPr>
          <w:lang w:val="en-GB"/>
        </w:rPr>
      </w:pPr>
      <w:r w:rsidRPr="00FC4870">
        <w:rPr>
          <w:b/>
          <w:lang w:val="en-GB"/>
        </w:rPr>
        <w:t>Keywords:</w:t>
      </w:r>
      <w:r w:rsidR="002A2D39" w:rsidRPr="00FC4870">
        <w:rPr>
          <w:b/>
          <w:lang w:val="en-GB"/>
        </w:rPr>
        <w:t xml:space="preserve"> </w:t>
      </w:r>
      <w:r w:rsidR="00D11B5A" w:rsidRPr="00FC4870">
        <w:rPr>
          <w:lang w:val="en-GB"/>
        </w:rPr>
        <w:t>Levels of debt</w:t>
      </w:r>
      <w:r w:rsidR="002A2D39" w:rsidRPr="00FC4870">
        <w:rPr>
          <w:lang w:val="en-GB"/>
        </w:rPr>
        <w:t>; Inflation; Financial Institutions; Basel Accord.</w:t>
      </w:r>
    </w:p>
    <w:p w14:paraId="7CB2A1CA" w14:textId="77777777" w:rsidR="00514782" w:rsidRPr="00FC4870" w:rsidRDefault="00514782" w:rsidP="00514782">
      <w:pPr>
        <w:pStyle w:val="ecxmsonormal"/>
        <w:shd w:val="clear" w:color="auto" w:fill="FFFFFF"/>
        <w:spacing w:before="0" w:beforeAutospacing="0" w:after="120" w:afterAutospacing="0"/>
        <w:jc w:val="both"/>
        <w:rPr>
          <w:b/>
          <w:highlight w:val="yellow"/>
          <w:lang w:val="en-GB"/>
        </w:rPr>
      </w:pPr>
    </w:p>
    <w:p w14:paraId="074126FB" w14:textId="77777777" w:rsidR="00187859" w:rsidRPr="00FC4870" w:rsidRDefault="00187859" w:rsidP="00187859">
      <w:pPr>
        <w:spacing w:after="120" w:line="240" w:lineRule="auto"/>
        <w:jc w:val="both"/>
        <w:rPr>
          <w:rFonts w:ascii="Times New Roman" w:hAnsi="Times New Roman" w:cs="Times New Roman"/>
          <w:b/>
          <w:sz w:val="24"/>
          <w:szCs w:val="24"/>
        </w:rPr>
      </w:pPr>
      <w:r w:rsidRPr="00FC4870">
        <w:rPr>
          <w:rFonts w:ascii="Times New Roman" w:hAnsi="Times New Roman" w:cs="Times New Roman"/>
          <w:b/>
          <w:sz w:val="24"/>
          <w:szCs w:val="24"/>
        </w:rPr>
        <w:lastRenderedPageBreak/>
        <w:t>EL IMPACTO DE LA INFLACIÓN EN LA DEUDA DE LAS INSTITUCIONES FINANCIERAS DE BRASIL</w:t>
      </w:r>
    </w:p>
    <w:p w14:paraId="50366F38" w14:textId="14FA4663" w:rsidR="00514782" w:rsidRPr="00FC4870" w:rsidRDefault="00514782" w:rsidP="00514782">
      <w:pPr>
        <w:pStyle w:val="ecxmsonormal"/>
        <w:shd w:val="clear" w:color="auto" w:fill="FFFFFF"/>
        <w:spacing w:before="0" w:beforeAutospacing="0" w:after="120" w:afterAutospacing="0"/>
        <w:jc w:val="center"/>
        <w:rPr>
          <w:b/>
        </w:rPr>
      </w:pPr>
      <w:r w:rsidRPr="00FC4870">
        <w:rPr>
          <w:b/>
        </w:rPr>
        <w:t>RESUMEN</w:t>
      </w:r>
    </w:p>
    <w:p w14:paraId="0AA5D52B" w14:textId="3042595D" w:rsidR="00943127" w:rsidRPr="00FC4870" w:rsidRDefault="00943127" w:rsidP="00B052F5">
      <w:pPr>
        <w:pStyle w:val="ecxmsonormal"/>
        <w:shd w:val="clear" w:color="auto" w:fill="FFFFFF"/>
        <w:jc w:val="both"/>
      </w:pPr>
      <w:proofErr w:type="spellStart"/>
      <w:r w:rsidRPr="00FC4870">
        <w:t>Las</w:t>
      </w:r>
      <w:proofErr w:type="spellEnd"/>
      <w:r w:rsidRPr="00FC4870">
        <w:t xml:space="preserve"> </w:t>
      </w:r>
      <w:proofErr w:type="spellStart"/>
      <w:r w:rsidRPr="00FC4870">
        <w:t>instituciones</w:t>
      </w:r>
      <w:proofErr w:type="spellEnd"/>
      <w:r w:rsidRPr="00FC4870">
        <w:t xml:space="preserve"> </w:t>
      </w:r>
      <w:proofErr w:type="spellStart"/>
      <w:r w:rsidRPr="00FC4870">
        <w:t>financieras</w:t>
      </w:r>
      <w:proofErr w:type="spellEnd"/>
      <w:r w:rsidRPr="00FC4870">
        <w:t xml:space="preserve"> </w:t>
      </w:r>
      <w:proofErr w:type="spellStart"/>
      <w:r w:rsidRPr="00FC4870">
        <w:t>son</w:t>
      </w:r>
      <w:proofErr w:type="spellEnd"/>
      <w:r w:rsidRPr="00FC4870">
        <w:t xml:space="preserve">, naturalmente, entidades que </w:t>
      </w:r>
      <w:proofErr w:type="spellStart"/>
      <w:r w:rsidRPr="00FC4870">
        <w:t>utilizan</w:t>
      </w:r>
      <w:proofErr w:type="spellEnd"/>
      <w:r w:rsidRPr="00FC4870">
        <w:t xml:space="preserve"> </w:t>
      </w:r>
      <w:proofErr w:type="spellStart"/>
      <w:r w:rsidRPr="00FC4870">
        <w:t>la</w:t>
      </w:r>
      <w:proofErr w:type="spellEnd"/>
      <w:r w:rsidRPr="00FC4870">
        <w:t xml:space="preserve"> </w:t>
      </w:r>
      <w:proofErr w:type="spellStart"/>
      <w:r w:rsidRPr="00FC4870">
        <w:t>deuda</w:t>
      </w:r>
      <w:proofErr w:type="spellEnd"/>
      <w:r w:rsidRPr="00FC4870">
        <w:t xml:space="preserve"> </w:t>
      </w:r>
      <w:proofErr w:type="spellStart"/>
      <w:r w:rsidRPr="00FC4870">
        <w:t>con</w:t>
      </w:r>
      <w:proofErr w:type="spellEnd"/>
      <w:r w:rsidRPr="00FC4870">
        <w:t xml:space="preserve"> fines de lucro </w:t>
      </w:r>
      <w:proofErr w:type="spellStart"/>
      <w:r w:rsidRPr="00FC4870">
        <w:t>en</w:t>
      </w:r>
      <w:proofErr w:type="spellEnd"/>
      <w:r w:rsidRPr="00FC4870">
        <w:t xml:space="preserve"> sus </w:t>
      </w:r>
      <w:proofErr w:type="spellStart"/>
      <w:r w:rsidRPr="00FC4870">
        <w:t>operaciones</w:t>
      </w:r>
      <w:proofErr w:type="spellEnd"/>
      <w:r w:rsidRPr="00FC4870">
        <w:t xml:space="preserve"> apalancadas. El pape</w:t>
      </w:r>
      <w:r w:rsidR="009F4B64" w:rsidRPr="00FC4870">
        <w:t xml:space="preserve">l de </w:t>
      </w:r>
      <w:proofErr w:type="spellStart"/>
      <w:r w:rsidR="009F4B64" w:rsidRPr="00FC4870">
        <w:t>intermediario</w:t>
      </w:r>
      <w:proofErr w:type="spellEnd"/>
      <w:r w:rsidR="009F4B64" w:rsidRPr="00FC4870">
        <w:t xml:space="preserve"> </w:t>
      </w:r>
      <w:proofErr w:type="spellStart"/>
      <w:r w:rsidR="009F4B64" w:rsidRPr="00FC4870">
        <w:t>financiero</w:t>
      </w:r>
      <w:proofErr w:type="spellEnd"/>
      <w:r w:rsidR="009F4B64" w:rsidRPr="00FC4870">
        <w:t xml:space="preserve"> de</w:t>
      </w:r>
      <w:r w:rsidRPr="00FC4870">
        <w:t xml:space="preserve"> estas </w:t>
      </w:r>
      <w:proofErr w:type="spellStart"/>
      <w:r w:rsidRPr="00FC4870">
        <w:t>instituciones</w:t>
      </w:r>
      <w:proofErr w:type="spellEnd"/>
      <w:r w:rsidRPr="00FC4870">
        <w:t xml:space="preserve"> </w:t>
      </w:r>
      <w:r w:rsidR="00DB157E" w:rsidRPr="00FC4870">
        <w:t xml:space="preserve">da </w:t>
      </w:r>
      <w:proofErr w:type="spellStart"/>
      <w:r w:rsidRPr="00FC4870">
        <w:t>el</w:t>
      </w:r>
      <w:proofErr w:type="spellEnd"/>
      <w:r w:rsidRPr="00FC4870">
        <w:t xml:space="preserve"> contexto </w:t>
      </w:r>
      <w:proofErr w:type="spellStart"/>
      <w:r w:rsidRPr="00FC4870">
        <w:t>necesario</w:t>
      </w:r>
      <w:proofErr w:type="spellEnd"/>
      <w:r w:rsidRPr="00FC4870">
        <w:t xml:space="preserve"> para utilizar </w:t>
      </w:r>
      <w:proofErr w:type="spellStart"/>
      <w:r w:rsidRPr="00FC4870">
        <w:t>el</w:t>
      </w:r>
      <w:proofErr w:type="spellEnd"/>
      <w:r w:rsidRPr="00FC4870">
        <w:t xml:space="preserve"> </w:t>
      </w:r>
      <w:proofErr w:type="spellStart"/>
      <w:r w:rsidRPr="00FC4870">
        <w:t>apalancamiento</w:t>
      </w:r>
      <w:proofErr w:type="spellEnd"/>
      <w:r w:rsidRPr="00FC4870">
        <w:t xml:space="preserve"> </w:t>
      </w:r>
      <w:proofErr w:type="spellStart"/>
      <w:r w:rsidRPr="00FC4870">
        <w:t>financiero</w:t>
      </w:r>
      <w:proofErr w:type="spellEnd"/>
      <w:r w:rsidRPr="00FC4870">
        <w:t xml:space="preserve"> </w:t>
      </w:r>
      <w:proofErr w:type="spellStart"/>
      <w:r w:rsidRPr="00FC4870">
        <w:t>con</w:t>
      </w:r>
      <w:proofErr w:type="spellEnd"/>
      <w:r w:rsidRPr="00FC4870">
        <w:t xml:space="preserve"> fines de lucro. Entre </w:t>
      </w:r>
      <w:proofErr w:type="spellStart"/>
      <w:r w:rsidRPr="00FC4870">
        <w:t>las</w:t>
      </w:r>
      <w:proofErr w:type="spellEnd"/>
      <w:r w:rsidRPr="00FC4870">
        <w:t xml:space="preserve"> diferentes </w:t>
      </w:r>
      <w:proofErr w:type="spellStart"/>
      <w:r w:rsidRPr="00FC4870">
        <w:t>variables</w:t>
      </w:r>
      <w:proofErr w:type="spellEnd"/>
      <w:r w:rsidRPr="00FC4870">
        <w:t xml:space="preserve"> utilizadas </w:t>
      </w:r>
      <w:proofErr w:type="spellStart"/>
      <w:r w:rsidRPr="00FC4870">
        <w:t>en</w:t>
      </w:r>
      <w:proofErr w:type="spellEnd"/>
      <w:r w:rsidRPr="00FC4870">
        <w:t xml:space="preserve"> </w:t>
      </w:r>
      <w:proofErr w:type="spellStart"/>
      <w:r w:rsidRPr="00FC4870">
        <w:t>los</w:t>
      </w:r>
      <w:proofErr w:type="spellEnd"/>
      <w:r w:rsidRPr="00FC4870">
        <w:t xml:space="preserve"> niveles de </w:t>
      </w:r>
      <w:proofErr w:type="spellStart"/>
      <w:r w:rsidRPr="00FC4870">
        <w:t>deuda</w:t>
      </w:r>
      <w:proofErr w:type="spellEnd"/>
      <w:r w:rsidRPr="00FC4870">
        <w:t xml:space="preserve"> de estas </w:t>
      </w:r>
      <w:proofErr w:type="spellStart"/>
      <w:r w:rsidRPr="00FC4870">
        <w:t>instituciones</w:t>
      </w:r>
      <w:proofErr w:type="spellEnd"/>
      <w:r w:rsidRPr="00FC4870">
        <w:t xml:space="preserve">, Hortlund (2005) </w:t>
      </w:r>
      <w:proofErr w:type="spellStart"/>
      <w:r w:rsidRPr="00FC4870">
        <w:t>pone</w:t>
      </w:r>
      <w:proofErr w:type="spellEnd"/>
      <w:r w:rsidRPr="00FC4870">
        <w:t xml:space="preserve"> de </w:t>
      </w:r>
      <w:proofErr w:type="spellStart"/>
      <w:r w:rsidRPr="00FC4870">
        <w:t>relieve</w:t>
      </w:r>
      <w:proofErr w:type="spellEnd"/>
      <w:r w:rsidR="00D7431A" w:rsidRPr="00FC4870">
        <w:t xml:space="preserve"> que</w:t>
      </w:r>
      <w:r w:rsidRPr="00FC4870">
        <w:t xml:space="preserve"> </w:t>
      </w:r>
      <w:proofErr w:type="spellStart"/>
      <w:r w:rsidRPr="00FC4870">
        <w:t>la</w:t>
      </w:r>
      <w:proofErr w:type="spellEnd"/>
      <w:r w:rsidRPr="00FC4870">
        <w:t xml:space="preserve"> </w:t>
      </w:r>
      <w:proofErr w:type="spellStart"/>
      <w:r w:rsidRPr="00FC4870">
        <w:t>inflación</w:t>
      </w:r>
      <w:proofErr w:type="spellEnd"/>
      <w:r w:rsidRPr="00FC4870">
        <w:t xml:space="preserve"> </w:t>
      </w:r>
      <w:proofErr w:type="spellStart"/>
      <w:r w:rsidRPr="00FC4870">
        <w:t>tiene</w:t>
      </w:r>
      <w:proofErr w:type="spellEnd"/>
      <w:r w:rsidRPr="00FC4870">
        <w:t xml:space="preserve"> </w:t>
      </w:r>
      <w:proofErr w:type="spellStart"/>
      <w:r w:rsidRPr="00FC4870">
        <w:t>un</w:t>
      </w:r>
      <w:proofErr w:type="spellEnd"/>
      <w:r w:rsidRPr="00FC4870">
        <w:t xml:space="preserve"> papel central </w:t>
      </w:r>
      <w:proofErr w:type="spellStart"/>
      <w:r w:rsidRPr="00FC4870">
        <w:t>en</w:t>
      </w:r>
      <w:proofErr w:type="spellEnd"/>
      <w:r w:rsidRPr="00FC4870">
        <w:t xml:space="preserve"> este fenómeno. Este </w:t>
      </w:r>
      <w:proofErr w:type="spellStart"/>
      <w:r w:rsidRPr="00FC4870">
        <w:t>estudio</w:t>
      </w:r>
      <w:proofErr w:type="spellEnd"/>
      <w:r w:rsidRPr="00FC4870">
        <w:t xml:space="preserve"> se </w:t>
      </w:r>
      <w:proofErr w:type="spellStart"/>
      <w:r w:rsidRPr="00FC4870">
        <w:t>centró</w:t>
      </w:r>
      <w:proofErr w:type="spellEnd"/>
      <w:r w:rsidRPr="00FC4870">
        <w:t xml:space="preserve"> </w:t>
      </w:r>
      <w:proofErr w:type="spellStart"/>
      <w:r w:rsidRPr="00FC4870">
        <w:t>en</w:t>
      </w:r>
      <w:proofErr w:type="spellEnd"/>
      <w:r w:rsidRPr="00FC4870">
        <w:t xml:space="preserve"> </w:t>
      </w:r>
      <w:proofErr w:type="spellStart"/>
      <w:r w:rsidRPr="00FC4870">
        <w:t>cómo</w:t>
      </w:r>
      <w:proofErr w:type="spellEnd"/>
      <w:r w:rsidRPr="00FC4870">
        <w:t xml:space="preserve"> </w:t>
      </w:r>
      <w:proofErr w:type="spellStart"/>
      <w:r w:rsidRPr="00FC4870">
        <w:t>la</w:t>
      </w:r>
      <w:proofErr w:type="spellEnd"/>
      <w:r w:rsidRPr="00FC4870">
        <w:t xml:space="preserve"> </w:t>
      </w:r>
      <w:proofErr w:type="spellStart"/>
      <w:r w:rsidRPr="00FC4870">
        <w:t>inflación</w:t>
      </w:r>
      <w:proofErr w:type="spellEnd"/>
      <w:r w:rsidRPr="00FC4870">
        <w:t xml:space="preserve"> </w:t>
      </w:r>
      <w:proofErr w:type="spellStart"/>
      <w:r w:rsidRPr="00FC4870">
        <w:t>influye</w:t>
      </w:r>
      <w:proofErr w:type="spellEnd"/>
      <w:r w:rsidRPr="00FC4870">
        <w:t xml:space="preserve"> </w:t>
      </w:r>
      <w:proofErr w:type="spellStart"/>
      <w:r w:rsidRPr="00FC4870">
        <w:t>en</w:t>
      </w:r>
      <w:proofErr w:type="spellEnd"/>
      <w:r w:rsidRPr="00FC4870">
        <w:t xml:space="preserve"> </w:t>
      </w:r>
      <w:proofErr w:type="spellStart"/>
      <w:r w:rsidRPr="00FC4870">
        <w:t>la</w:t>
      </w:r>
      <w:proofErr w:type="spellEnd"/>
      <w:r w:rsidRPr="00FC4870">
        <w:t xml:space="preserve"> </w:t>
      </w:r>
      <w:proofErr w:type="spellStart"/>
      <w:r w:rsidRPr="00FC4870">
        <w:t>deuda</w:t>
      </w:r>
      <w:proofErr w:type="spellEnd"/>
      <w:r w:rsidRPr="00FC4870">
        <w:t xml:space="preserve"> de </w:t>
      </w:r>
      <w:proofErr w:type="spellStart"/>
      <w:r w:rsidRPr="00FC4870">
        <w:t>las</w:t>
      </w:r>
      <w:proofErr w:type="spellEnd"/>
      <w:r w:rsidRPr="00FC4870">
        <w:t xml:space="preserve"> </w:t>
      </w:r>
      <w:proofErr w:type="spellStart"/>
      <w:r w:rsidRPr="00FC4870">
        <w:t>instituciones</w:t>
      </w:r>
      <w:proofErr w:type="spellEnd"/>
      <w:r w:rsidRPr="00FC4870">
        <w:t xml:space="preserve"> </w:t>
      </w:r>
      <w:proofErr w:type="spellStart"/>
      <w:r w:rsidRPr="00FC4870">
        <w:t>financieras</w:t>
      </w:r>
      <w:proofErr w:type="spellEnd"/>
      <w:r w:rsidRPr="00FC4870">
        <w:t xml:space="preserve"> </w:t>
      </w:r>
      <w:proofErr w:type="spellStart"/>
      <w:r w:rsidRPr="00FC4870">
        <w:t>brasileñas</w:t>
      </w:r>
      <w:proofErr w:type="spellEnd"/>
      <w:r w:rsidRPr="00FC4870">
        <w:t xml:space="preserve">. Para </w:t>
      </w:r>
      <w:proofErr w:type="spellStart"/>
      <w:r w:rsidRPr="00FC4870">
        <w:t>ello</w:t>
      </w:r>
      <w:proofErr w:type="spellEnd"/>
      <w:r w:rsidRPr="00FC4870">
        <w:t xml:space="preserve">, </w:t>
      </w:r>
      <w:proofErr w:type="spellStart"/>
      <w:r w:rsidRPr="00FC4870">
        <w:t>analizaron</w:t>
      </w:r>
      <w:proofErr w:type="spellEnd"/>
      <w:r w:rsidRPr="00FC4870">
        <w:t xml:space="preserve"> </w:t>
      </w:r>
      <w:proofErr w:type="spellStart"/>
      <w:r w:rsidRPr="00FC4870">
        <w:t>los</w:t>
      </w:r>
      <w:proofErr w:type="spellEnd"/>
      <w:r w:rsidRPr="00FC4870">
        <w:t xml:space="preserve"> bancos de </w:t>
      </w:r>
      <w:proofErr w:type="spellStart"/>
      <w:r w:rsidRPr="00FC4870">
        <w:t>datos</w:t>
      </w:r>
      <w:proofErr w:type="spellEnd"/>
      <w:r w:rsidRPr="00FC4870">
        <w:t xml:space="preserve"> de 1996 a 2013, por estar relacionados </w:t>
      </w:r>
      <w:proofErr w:type="spellStart"/>
      <w:r w:rsidRPr="00FC4870">
        <w:t>con</w:t>
      </w:r>
      <w:proofErr w:type="spellEnd"/>
      <w:r w:rsidRPr="00FC4870">
        <w:t xml:space="preserve"> </w:t>
      </w:r>
      <w:proofErr w:type="spellStart"/>
      <w:r w:rsidRPr="00FC4870">
        <w:t>otras</w:t>
      </w:r>
      <w:proofErr w:type="spellEnd"/>
      <w:r w:rsidRPr="00FC4870">
        <w:t xml:space="preserve"> </w:t>
      </w:r>
      <w:proofErr w:type="spellStart"/>
      <w:r w:rsidRPr="00FC4870">
        <w:t>variables</w:t>
      </w:r>
      <w:proofErr w:type="spellEnd"/>
      <w:r w:rsidRPr="00FC4870">
        <w:t xml:space="preserve"> </w:t>
      </w:r>
      <w:proofErr w:type="spellStart"/>
      <w:r w:rsidRPr="00FC4870">
        <w:t>con</w:t>
      </w:r>
      <w:proofErr w:type="spellEnd"/>
      <w:r w:rsidRPr="00FC4870">
        <w:t xml:space="preserve"> </w:t>
      </w:r>
      <w:proofErr w:type="spellStart"/>
      <w:r w:rsidRPr="00FC4870">
        <w:t>el</w:t>
      </w:r>
      <w:proofErr w:type="spellEnd"/>
      <w:r w:rsidRPr="00FC4870">
        <w:t xml:space="preserve"> </w:t>
      </w:r>
      <w:proofErr w:type="spellStart"/>
      <w:r w:rsidRPr="00FC4870">
        <w:t>fin</w:t>
      </w:r>
      <w:proofErr w:type="spellEnd"/>
      <w:r w:rsidRPr="00FC4870">
        <w:t xml:space="preserve"> de </w:t>
      </w:r>
      <w:proofErr w:type="spellStart"/>
      <w:r w:rsidRPr="00FC4870">
        <w:t>asignar</w:t>
      </w:r>
      <w:proofErr w:type="spellEnd"/>
      <w:r w:rsidRPr="00FC4870">
        <w:t xml:space="preserve"> más </w:t>
      </w:r>
      <w:proofErr w:type="spellStart"/>
      <w:r w:rsidRPr="00FC4870">
        <w:t>consistencia</w:t>
      </w:r>
      <w:proofErr w:type="spellEnd"/>
      <w:r w:rsidRPr="00FC4870">
        <w:t xml:space="preserve"> </w:t>
      </w:r>
      <w:r w:rsidR="008C1F91" w:rsidRPr="00FC4870">
        <w:t>a</w:t>
      </w:r>
      <w:r w:rsidRPr="00FC4870">
        <w:t xml:space="preserve">l modelo utilizado. A través de </w:t>
      </w:r>
      <w:proofErr w:type="spellStart"/>
      <w:r w:rsidRPr="00FC4870">
        <w:t>regresiones</w:t>
      </w:r>
      <w:proofErr w:type="spellEnd"/>
      <w:r w:rsidRPr="00FC4870">
        <w:t xml:space="preserve"> de </w:t>
      </w:r>
      <w:proofErr w:type="spellStart"/>
      <w:r w:rsidRPr="00FC4870">
        <w:t>datos</w:t>
      </w:r>
      <w:proofErr w:type="spellEnd"/>
      <w:r w:rsidRPr="00FC4870">
        <w:t xml:space="preserve"> de </w:t>
      </w:r>
      <w:proofErr w:type="spellStart"/>
      <w:r w:rsidRPr="00FC4870">
        <w:t>panel</w:t>
      </w:r>
      <w:proofErr w:type="spellEnd"/>
      <w:r w:rsidRPr="00FC4870">
        <w:t xml:space="preserve"> equilibrados y desequilibrados </w:t>
      </w:r>
      <w:proofErr w:type="spellStart"/>
      <w:r w:rsidR="00187859" w:rsidRPr="00FC4870">
        <w:t>los</w:t>
      </w:r>
      <w:proofErr w:type="spellEnd"/>
      <w:r w:rsidR="00187859" w:rsidRPr="00FC4870">
        <w:t xml:space="preserve"> resultados </w:t>
      </w:r>
      <w:proofErr w:type="spellStart"/>
      <w:r w:rsidRPr="00FC4870">
        <w:t>indica</w:t>
      </w:r>
      <w:r w:rsidR="00187859" w:rsidRPr="00FC4870">
        <w:t>n</w:t>
      </w:r>
      <w:proofErr w:type="spellEnd"/>
      <w:r w:rsidRPr="00FC4870">
        <w:t xml:space="preserve"> que</w:t>
      </w:r>
      <w:r w:rsidR="00187859" w:rsidRPr="00FC4870">
        <w:t>,</w:t>
      </w:r>
      <w:r w:rsidR="009F4B64" w:rsidRPr="00FC4870">
        <w:t xml:space="preserve"> </w:t>
      </w:r>
      <w:r w:rsidRPr="00FC4870">
        <w:t xml:space="preserve">diferente de </w:t>
      </w:r>
      <w:proofErr w:type="spellStart"/>
      <w:r w:rsidRPr="00FC4870">
        <w:t>la</w:t>
      </w:r>
      <w:proofErr w:type="spellEnd"/>
      <w:r w:rsidRPr="00FC4870">
        <w:t xml:space="preserve"> </w:t>
      </w:r>
      <w:proofErr w:type="spellStart"/>
      <w:r w:rsidRPr="00FC4870">
        <w:t>hipótesis</w:t>
      </w:r>
      <w:proofErr w:type="spellEnd"/>
      <w:r w:rsidRPr="00FC4870">
        <w:t xml:space="preserve"> defendida por Hortlund (2005), </w:t>
      </w:r>
      <w:proofErr w:type="spellStart"/>
      <w:r w:rsidRPr="00FC4870">
        <w:t>la</w:t>
      </w:r>
      <w:proofErr w:type="spellEnd"/>
      <w:r w:rsidRPr="00FC4870">
        <w:t xml:space="preserve"> </w:t>
      </w:r>
      <w:proofErr w:type="spellStart"/>
      <w:r w:rsidRPr="00FC4870">
        <w:t>inflación</w:t>
      </w:r>
      <w:proofErr w:type="spellEnd"/>
      <w:r w:rsidRPr="00FC4870">
        <w:t xml:space="preserve"> </w:t>
      </w:r>
      <w:proofErr w:type="spellStart"/>
      <w:r w:rsidRPr="00FC4870">
        <w:t>tiene</w:t>
      </w:r>
      <w:proofErr w:type="spellEnd"/>
      <w:r w:rsidRPr="00FC4870">
        <w:t xml:space="preserve"> </w:t>
      </w:r>
      <w:proofErr w:type="spellStart"/>
      <w:r w:rsidRPr="00FC4870">
        <w:t>un</w:t>
      </w:r>
      <w:proofErr w:type="spellEnd"/>
      <w:r w:rsidRPr="00FC4870">
        <w:t xml:space="preserve"> impacto negativo sobre </w:t>
      </w:r>
      <w:proofErr w:type="spellStart"/>
      <w:r w:rsidRPr="00FC4870">
        <w:t>la</w:t>
      </w:r>
      <w:proofErr w:type="spellEnd"/>
      <w:r w:rsidRPr="00FC4870">
        <w:t xml:space="preserve"> </w:t>
      </w:r>
      <w:proofErr w:type="spellStart"/>
      <w:r w:rsidRPr="00FC4870">
        <w:t>deuda</w:t>
      </w:r>
      <w:proofErr w:type="spellEnd"/>
      <w:r w:rsidRPr="00FC4870">
        <w:t xml:space="preserve"> </w:t>
      </w:r>
      <w:proofErr w:type="spellStart"/>
      <w:r w:rsidRPr="00FC4870">
        <w:t>obtenid</w:t>
      </w:r>
      <w:r w:rsidR="009F4B64" w:rsidRPr="00FC4870">
        <w:t>a</w:t>
      </w:r>
      <w:proofErr w:type="spellEnd"/>
      <w:r w:rsidRPr="00FC4870">
        <w:t xml:space="preserve"> por </w:t>
      </w:r>
      <w:proofErr w:type="spellStart"/>
      <w:r w:rsidRPr="00FC4870">
        <w:t>las</w:t>
      </w:r>
      <w:proofErr w:type="spellEnd"/>
      <w:r w:rsidRPr="00FC4870">
        <w:t xml:space="preserve"> </w:t>
      </w:r>
      <w:proofErr w:type="spellStart"/>
      <w:r w:rsidRPr="00FC4870">
        <w:t>instituciones</w:t>
      </w:r>
      <w:proofErr w:type="spellEnd"/>
      <w:r w:rsidRPr="00FC4870">
        <w:t xml:space="preserve"> </w:t>
      </w:r>
      <w:proofErr w:type="spellStart"/>
      <w:r w:rsidRPr="00FC4870">
        <w:t>financieras</w:t>
      </w:r>
      <w:proofErr w:type="spellEnd"/>
      <w:r w:rsidRPr="00FC4870">
        <w:t xml:space="preserve"> </w:t>
      </w:r>
      <w:proofErr w:type="spellStart"/>
      <w:r w:rsidRPr="00FC4870">
        <w:t>en</w:t>
      </w:r>
      <w:proofErr w:type="spellEnd"/>
      <w:r w:rsidRPr="00FC4870">
        <w:t xml:space="preserve"> </w:t>
      </w:r>
      <w:proofErr w:type="spellStart"/>
      <w:r w:rsidRPr="00FC4870">
        <w:t>el</w:t>
      </w:r>
      <w:proofErr w:type="spellEnd"/>
      <w:r w:rsidRPr="00FC4870">
        <w:t xml:space="preserve"> período. </w:t>
      </w:r>
      <w:proofErr w:type="spellStart"/>
      <w:r w:rsidRPr="00FC4870">
        <w:t>Otras</w:t>
      </w:r>
      <w:proofErr w:type="spellEnd"/>
      <w:r w:rsidRPr="00FC4870">
        <w:t xml:space="preserve"> </w:t>
      </w:r>
      <w:proofErr w:type="spellStart"/>
      <w:r w:rsidRPr="00FC4870">
        <w:t>conclusiones</w:t>
      </w:r>
      <w:proofErr w:type="spellEnd"/>
      <w:r w:rsidRPr="00FC4870">
        <w:t xml:space="preserve"> </w:t>
      </w:r>
      <w:proofErr w:type="spellStart"/>
      <w:r w:rsidRPr="00FC4870">
        <w:t>del</w:t>
      </w:r>
      <w:proofErr w:type="spellEnd"/>
      <w:r w:rsidRPr="00FC4870">
        <w:t xml:space="preserve"> </w:t>
      </w:r>
      <w:proofErr w:type="spellStart"/>
      <w:r w:rsidRPr="00FC4870">
        <w:t>estudio</w:t>
      </w:r>
      <w:proofErr w:type="spellEnd"/>
      <w:r w:rsidRPr="00FC4870">
        <w:t xml:space="preserve"> </w:t>
      </w:r>
      <w:proofErr w:type="spellStart"/>
      <w:r w:rsidRPr="00FC4870">
        <w:t>indican</w:t>
      </w:r>
      <w:proofErr w:type="spellEnd"/>
      <w:r w:rsidRPr="00FC4870">
        <w:t xml:space="preserve"> que </w:t>
      </w:r>
      <w:proofErr w:type="spellStart"/>
      <w:r w:rsidRPr="00FC4870">
        <w:t>las</w:t>
      </w:r>
      <w:proofErr w:type="spellEnd"/>
      <w:r w:rsidRPr="00FC4870">
        <w:t xml:space="preserve"> </w:t>
      </w:r>
      <w:proofErr w:type="spellStart"/>
      <w:r w:rsidRPr="00FC4870">
        <w:t>variables</w:t>
      </w:r>
      <w:proofErr w:type="spellEnd"/>
      <w:r w:rsidRPr="00FC4870">
        <w:t xml:space="preserve"> representativas </w:t>
      </w:r>
      <w:proofErr w:type="spellStart"/>
      <w:r w:rsidRPr="00FC4870">
        <w:t>del</w:t>
      </w:r>
      <w:proofErr w:type="spellEnd"/>
      <w:r w:rsidRPr="00FC4870">
        <w:t xml:space="preserve"> aumento de </w:t>
      </w:r>
      <w:proofErr w:type="spellStart"/>
      <w:r w:rsidRPr="00FC4870">
        <w:t>las</w:t>
      </w:r>
      <w:proofErr w:type="spellEnd"/>
      <w:r w:rsidRPr="00FC4870">
        <w:t xml:space="preserve"> </w:t>
      </w:r>
      <w:proofErr w:type="spellStart"/>
      <w:r w:rsidRPr="00FC4870">
        <w:t>operaciones</w:t>
      </w:r>
      <w:proofErr w:type="spellEnd"/>
      <w:r w:rsidRPr="00FC4870">
        <w:t xml:space="preserve"> de estas </w:t>
      </w:r>
      <w:proofErr w:type="spellStart"/>
      <w:r w:rsidRPr="00FC4870">
        <w:t>instituciones</w:t>
      </w:r>
      <w:proofErr w:type="spellEnd"/>
      <w:r w:rsidRPr="00FC4870">
        <w:t xml:space="preserve">, como </w:t>
      </w:r>
      <w:proofErr w:type="spellStart"/>
      <w:r w:rsidRPr="00FC4870">
        <w:t>el</w:t>
      </w:r>
      <w:proofErr w:type="spellEnd"/>
      <w:r w:rsidRPr="00FC4870">
        <w:t xml:space="preserve"> </w:t>
      </w:r>
      <w:proofErr w:type="spellStart"/>
      <w:r w:rsidRPr="00FC4870">
        <w:t>crecimiento</w:t>
      </w:r>
      <w:proofErr w:type="spellEnd"/>
      <w:r w:rsidRPr="00FC4870">
        <w:t xml:space="preserve"> </w:t>
      </w:r>
      <w:proofErr w:type="spellStart"/>
      <w:r w:rsidRPr="00FC4870">
        <w:t>del</w:t>
      </w:r>
      <w:proofErr w:type="spellEnd"/>
      <w:r w:rsidRPr="00FC4870">
        <w:t xml:space="preserve"> PIB, </w:t>
      </w:r>
      <w:proofErr w:type="spellStart"/>
      <w:r w:rsidRPr="00FC4870">
        <w:t>el</w:t>
      </w:r>
      <w:proofErr w:type="spellEnd"/>
      <w:r w:rsidRPr="00FC4870">
        <w:t xml:space="preserve"> </w:t>
      </w:r>
      <w:proofErr w:type="spellStart"/>
      <w:r w:rsidRPr="00FC4870">
        <w:t>crecimi</w:t>
      </w:r>
      <w:r w:rsidR="00187859" w:rsidRPr="00FC4870">
        <w:t>ento</w:t>
      </w:r>
      <w:proofErr w:type="spellEnd"/>
      <w:r w:rsidR="00187859" w:rsidRPr="00FC4870">
        <w:t xml:space="preserve"> de </w:t>
      </w:r>
      <w:proofErr w:type="spellStart"/>
      <w:r w:rsidR="00187859" w:rsidRPr="00FC4870">
        <w:t>los</w:t>
      </w:r>
      <w:proofErr w:type="spellEnd"/>
      <w:r w:rsidR="00187859" w:rsidRPr="00FC4870">
        <w:t xml:space="preserve"> </w:t>
      </w:r>
      <w:proofErr w:type="spellStart"/>
      <w:r w:rsidR="00187859" w:rsidRPr="00FC4870">
        <w:t>activos</w:t>
      </w:r>
      <w:proofErr w:type="spellEnd"/>
      <w:r w:rsidR="00187859" w:rsidRPr="00FC4870">
        <w:t xml:space="preserve"> y </w:t>
      </w:r>
      <w:proofErr w:type="spellStart"/>
      <w:r w:rsidR="00187859" w:rsidRPr="00FC4870">
        <w:t>préstamos</w:t>
      </w:r>
      <w:proofErr w:type="spellEnd"/>
      <w:r w:rsidRPr="00FC4870">
        <w:t>/</w:t>
      </w:r>
      <w:proofErr w:type="spellStart"/>
      <w:r w:rsidRPr="00FC4870">
        <w:t>activos</w:t>
      </w:r>
      <w:proofErr w:type="spellEnd"/>
      <w:r w:rsidRPr="00FC4870">
        <w:t xml:space="preserve"> </w:t>
      </w:r>
      <w:proofErr w:type="spellStart"/>
      <w:r w:rsidRPr="00FC4870">
        <w:t>impact</w:t>
      </w:r>
      <w:r w:rsidR="005E3E49" w:rsidRPr="00FC4870">
        <w:t>an</w:t>
      </w:r>
      <w:proofErr w:type="spellEnd"/>
      <w:r w:rsidRPr="00FC4870">
        <w:t xml:space="preserve"> positiv</w:t>
      </w:r>
      <w:r w:rsidR="005E3E49" w:rsidRPr="00FC4870">
        <w:t>amente</w:t>
      </w:r>
      <w:r w:rsidRPr="00FC4870">
        <w:t xml:space="preserve"> </w:t>
      </w:r>
      <w:proofErr w:type="spellStart"/>
      <w:r w:rsidRPr="00FC4870">
        <w:t>el</w:t>
      </w:r>
      <w:proofErr w:type="spellEnd"/>
      <w:r w:rsidRPr="00FC4870">
        <w:t xml:space="preserve"> </w:t>
      </w:r>
      <w:proofErr w:type="spellStart"/>
      <w:r w:rsidRPr="00FC4870">
        <w:t>apalancamiento</w:t>
      </w:r>
      <w:proofErr w:type="spellEnd"/>
      <w:r w:rsidRPr="00FC4870">
        <w:t xml:space="preserve"> de </w:t>
      </w:r>
      <w:proofErr w:type="spellStart"/>
      <w:r w:rsidRPr="00FC4870">
        <w:t>las</w:t>
      </w:r>
      <w:proofErr w:type="spellEnd"/>
      <w:r w:rsidRPr="00FC4870">
        <w:t xml:space="preserve"> </w:t>
      </w:r>
      <w:proofErr w:type="spellStart"/>
      <w:r w:rsidRPr="00FC4870">
        <w:t>instituciones</w:t>
      </w:r>
      <w:proofErr w:type="spellEnd"/>
      <w:r w:rsidRPr="00FC4870">
        <w:t xml:space="preserve"> </w:t>
      </w:r>
      <w:proofErr w:type="spellStart"/>
      <w:r w:rsidRPr="00FC4870">
        <w:t>financieras</w:t>
      </w:r>
      <w:proofErr w:type="spellEnd"/>
      <w:r w:rsidRPr="00FC4870">
        <w:t xml:space="preserve">, </w:t>
      </w:r>
      <w:proofErr w:type="spellStart"/>
      <w:r w:rsidRPr="00FC4870">
        <w:t>lo</w:t>
      </w:r>
      <w:proofErr w:type="spellEnd"/>
      <w:r w:rsidRPr="00FC4870">
        <w:t xml:space="preserve"> que indica que </w:t>
      </w:r>
      <w:proofErr w:type="spellStart"/>
      <w:r w:rsidRPr="00FC4870">
        <w:t>estos</w:t>
      </w:r>
      <w:proofErr w:type="spellEnd"/>
      <w:r w:rsidRPr="00FC4870">
        <w:t xml:space="preserve"> </w:t>
      </w:r>
      <w:proofErr w:type="spellStart"/>
      <w:r w:rsidRPr="00FC4870">
        <w:t>son</w:t>
      </w:r>
      <w:proofErr w:type="spellEnd"/>
      <w:r w:rsidRPr="00FC4870">
        <w:t xml:space="preserve"> </w:t>
      </w:r>
      <w:proofErr w:type="gramStart"/>
      <w:r w:rsidRPr="00FC4870">
        <w:t>más propensos</w:t>
      </w:r>
      <w:proofErr w:type="gramEnd"/>
      <w:r w:rsidRPr="00FC4870">
        <w:t xml:space="preserve"> a </w:t>
      </w:r>
      <w:proofErr w:type="spellStart"/>
      <w:r w:rsidRPr="00FC4870">
        <w:t>contraer</w:t>
      </w:r>
      <w:proofErr w:type="spellEnd"/>
      <w:r w:rsidRPr="00FC4870">
        <w:t xml:space="preserve"> </w:t>
      </w:r>
      <w:proofErr w:type="spellStart"/>
      <w:r w:rsidRPr="00FC4870">
        <w:t>deudas</w:t>
      </w:r>
      <w:proofErr w:type="spellEnd"/>
      <w:r w:rsidRPr="00FC4870">
        <w:t xml:space="preserve"> </w:t>
      </w:r>
      <w:proofErr w:type="spellStart"/>
      <w:r w:rsidRPr="00FC4870">
        <w:t>cuando</w:t>
      </w:r>
      <w:proofErr w:type="spellEnd"/>
      <w:r w:rsidRPr="00FC4870">
        <w:t xml:space="preserve"> </w:t>
      </w:r>
      <w:proofErr w:type="spellStart"/>
      <w:r w:rsidRPr="00FC4870">
        <w:t>pueden</w:t>
      </w:r>
      <w:proofErr w:type="spellEnd"/>
      <w:r w:rsidRPr="00FC4870">
        <w:t xml:space="preserve"> aplicar est</w:t>
      </w:r>
      <w:r w:rsidR="005E3E49" w:rsidRPr="00FC4870">
        <w:t>e</w:t>
      </w:r>
      <w:r w:rsidRPr="00FC4870">
        <w:t xml:space="preserve"> capital </w:t>
      </w:r>
      <w:proofErr w:type="spellStart"/>
      <w:r w:rsidRPr="00FC4870">
        <w:t>en</w:t>
      </w:r>
      <w:proofErr w:type="spellEnd"/>
      <w:r w:rsidRPr="00FC4870">
        <w:t xml:space="preserve"> </w:t>
      </w:r>
      <w:proofErr w:type="spellStart"/>
      <w:r w:rsidRPr="00FC4870">
        <w:t>las</w:t>
      </w:r>
      <w:proofErr w:type="spellEnd"/>
      <w:r w:rsidRPr="00FC4870">
        <w:t xml:space="preserve"> </w:t>
      </w:r>
      <w:proofErr w:type="spellStart"/>
      <w:r w:rsidRPr="00FC4870">
        <w:t>operaciones</w:t>
      </w:r>
      <w:proofErr w:type="spellEnd"/>
      <w:r w:rsidRPr="00FC4870">
        <w:t xml:space="preserve"> </w:t>
      </w:r>
      <w:proofErr w:type="spellStart"/>
      <w:r w:rsidRPr="00FC4870">
        <w:t>productivas</w:t>
      </w:r>
      <w:proofErr w:type="spellEnd"/>
      <w:r w:rsidRPr="00FC4870">
        <w:t xml:space="preserve">. Por último, se </w:t>
      </w:r>
      <w:proofErr w:type="spellStart"/>
      <w:r w:rsidRPr="00FC4870">
        <w:t>constató</w:t>
      </w:r>
      <w:proofErr w:type="spellEnd"/>
      <w:r w:rsidRPr="00FC4870">
        <w:t xml:space="preserve"> que </w:t>
      </w:r>
      <w:proofErr w:type="spellStart"/>
      <w:r w:rsidRPr="00FC4870">
        <w:t>las</w:t>
      </w:r>
      <w:proofErr w:type="spellEnd"/>
      <w:r w:rsidRPr="00FC4870">
        <w:t xml:space="preserve"> </w:t>
      </w:r>
      <w:proofErr w:type="spellStart"/>
      <w:r w:rsidRPr="00FC4870">
        <w:t>directrices</w:t>
      </w:r>
      <w:proofErr w:type="spellEnd"/>
      <w:r w:rsidRPr="00FC4870">
        <w:t xml:space="preserve"> </w:t>
      </w:r>
      <w:proofErr w:type="spellStart"/>
      <w:r w:rsidRPr="00FC4870">
        <w:t>contenidas</w:t>
      </w:r>
      <w:proofErr w:type="spellEnd"/>
      <w:r w:rsidRPr="00FC4870">
        <w:t xml:space="preserve"> </w:t>
      </w:r>
      <w:proofErr w:type="spellStart"/>
      <w:r w:rsidRPr="00FC4870">
        <w:t>en</w:t>
      </w:r>
      <w:proofErr w:type="spellEnd"/>
      <w:r w:rsidRPr="00FC4870">
        <w:t xml:space="preserve"> </w:t>
      </w:r>
      <w:proofErr w:type="spellStart"/>
      <w:r w:rsidRPr="00FC4870">
        <w:t>los</w:t>
      </w:r>
      <w:proofErr w:type="spellEnd"/>
      <w:r w:rsidRPr="00FC4870">
        <w:t xml:space="preserve"> </w:t>
      </w:r>
      <w:proofErr w:type="spellStart"/>
      <w:r w:rsidRPr="00FC4870">
        <w:t>Acuerdos</w:t>
      </w:r>
      <w:proofErr w:type="spellEnd"/>
      <w:r w:rsidRPr="00FC4870">
        <w:t xml:space="preserve"> de Capital de </w:t>
      </w:r>
      <w:proofErr w:type="spellStart"/>
      <w:r w:rsidRPr="00FC4870">
        <w:t>Basilea</w:t>
      </w:r>
      <w:proofErr w:type="spellEnd"/>
      <w:r w:rsidRPr="00FC4870">
        <w:t xml:space="preserve"> II y </w:t>
      </w:r>
      <w:proofErr w:type="spellStart"/>
      <w:r w:rsidRPr="00FC4870">
        <w:t>Basilea</w:t>
      </w:r>
      <w:proofErr w:type="spellEnd"/>
      <w:r w:rsidRPr="00FC4870">
        <w:t xml:space="preserve"> III, que </w:t>
      </w:r>
      <w:proofErr w:type="spellStart"/>
      <w:r w:rsidRPr="00FC4870">
        <w:t>fueron</w:t>
      </w:r>
      <w:proofErr w:type="spellEnd"/>
      <w:r w:rsidRPr="00FC4870">
        <w:t xml:space="preserve"> seguidas por </w:t>
      </w:r>
      <w:proofErr w:type="spellStart"/>
      <w:r w:rsidRPr="00FC4870">
        <w:t>el</w:t>
      </w:r>
      <w:proofErr w:type="spellEnd"/>
      <w:r w:rsidRPr="00FC4870">
        <w:t xml:space="preserve"> sistema </w:t>
      </w:r>
      <w:proofErr w:type="spellStart"/>
      <w:r w:rsidRPr="00FC4870">
        <w:t>financiero</w:t>
      </w:r>
      <w:proofErr w:type="spellEnd"/>
      <w:r w:rsidRPr="00FC4870">
        <w:t xml:space="preserve"> nacional, </w:t>
      </w:r>
      <w:proofErr w:type="spellStart"/>
      <w:r w:rsidRPr="00FC4870">
        <w:t>influencia</w:t>
      </w:r>
      <w:r w:rsidR="005E3E49" w:rsidRPr="00FC4870">
        <w:t>ron</w:t>
      </w:r>
      <w:proofErr w:type="spellEnd"/>
      <w:r w:rsidRPr="00FC4870">
        <w:t xml:space="preserve"> negativamente </w:t>
      </w:r>
      <w:proofErr w:type="spellStart"/>
      <w:r w:rsidRPr="00FC4870">
        <w:t>el</w:t>
      </w:r>
      <w:proofErr w:type="spellEnd"/>
      <w:r w:rsidRPr="00FC4870">
        <w:t xml:space="preserve"> </w:t>
      </w:r>
      <w:proofErr w:type="spellStart"/>
      <w:r w:rsidRPr="00FC4870">
        <w:t>endeudamiento</w:t>
      </w:r>
      <w:proofErr w:type="spellEnd"/>
      <w:r w:rsidRPr="00FC4870">
        <w:t xml:space="preserve"> de </w:t>
      </w:r>
      <w:proofErr w:type="spellStart"/>
      <w:r w:rsidRPr="00FC4870">
        <w:t>las</w:t>
      </w:r>
      <w:proofErr w:type="spellEnd"/>
      <w:r w:rsidRPr="00FC4870">
        <w:t xml:space="preserve"> entidades </w:t>
      </w:r>
      <w:proofErr w:type="spellStart"/>
      <w:r w:rsidRPr="00FC4870">
        <w:t>financieras</w:t>
      </w:r>
      <w:proofErr w:type="spellEnd"/>
      <w:r w:rsidRPr="00FC4870">
        <w:t xml:space="preserve">, que </w:t>
      </w:r>
      <w:proofErr w:type="spellStart"/>
      <w:r w:rsidRPr="00FC4870">
        <w:t>los</w:t>
      </w:r>
      <w:proofErr w:type="spellEnd"/>
      <w:r w:rsidRPr="00FC4870">
        <w:t xml:space="preserve"> </w:t>
      </w:r>
      <w:proofErr w:type="spellStart"/>
      <w:r w:rsidRPr="00FC4870">
        <w:t>hace</w:t>
      </w:r>
      <w:proofErr w:type="spellEnd"/>
      <w:r w:rsidRPr="00FC4870">
        <w:t xml:space="preserve"> menos apalancada.</w:t>
      </w:r>
    </w:p>
    <w:p w14:paraId="5961F71D" w14:textId="530AFB8A" w:rsidR="00943127" w:rsidRPr="00187859" w:rsidRDefault="00943127" w:rsidP="00943127">
      <w:pPr>
        <w:pStyle w:val="ecxmsonormal"/>
        <w:shd w:val="clear" w:color="auto" w:fill="FFFFFF"/>
        <w:spacing w:before="0" w:beforeAutospacing="0" w:after="120" w:afterAutospacing="0"/>
        <w:jc w:val="both"/>
      </w:pPr>
      <w:proofErr w:type="spellStart"/>
      <w:r w:rsidRPr="00FC4870">
        <w:rPr>
          <w:b/>
        </w:rPr>
        <w:t>Palabras</w:t>
      </w:r>
      <w:proofErr w:type="spellEnd"/>
      <w:r w:rsidRPr="00FC4870">
        <w:rPr>
          <w:b/>
        </w:rPr>
        <w:t xml:space="preserve"> clave</w:t>
      </w:r>
      <w:r w:rsidR="00187859" w:rsidRPr="00FC4870">
        <w:rPr>
          <w:b/>
        </w:rPr>
        <w:t>s</w:t>
      </w:r>
      <w:r w:rsidRPr="00FC4870">
        <w:rPr>
          <w:b/>
        </w:rPr>
        <w:t xml:space="preserve">: </w:t>
      </w:r>
      <w:proofErr w:type="spellStart"/>
      <w:r w:rsidRPr="00FC4870">
        <w:t>Deuda</w:t>
      </w:r>
      <w:proofErr w:type="spellEnd"/>
      <w:r w:rsidRPr="00FC4870">
        <w:t xml:space="preserve">; </w:t>
      </w:r>
      <w:proofErr w:type="spellStart"/>
      <w:r w:rsidR="00167615" w:rsidRPr="00FC4870">
        <w:t>I</w:t>
      </w:r>
      <w:r w:rsidRPr="00FC4870">
        <w:t>nflación</w:t>
      </w:r>
      <w:proofErr w:type="spellEnd"/>
      <w:r w:rsidRPr="00FC4870">
        <w:t xml:space="preserve">; </w:t>
      </w:r>
      <w:proofErr w:type="spellStart"/>
      <w:r w:rsidRPr="00FC4870">
        <w:t>Instituciones</w:t>
      </w:r>
      <w:proofErr w:type="spellEnd"/>
      <w:r w:rsidRPr="00FC4870">
        <w:t xml:space="preserve"> </w:t>
      </w:r>
      <w:proofErr w:type="spellStart"/>
      <w:r w:rsidRPr="00FC4870">
        <w:t>Financieras</w:t>
      </w:r>
      <w:proofErr w:type="spellEnd"/>
      <w:r w:rsidRPr="00FC4870">
        <w:t xml:space="preserve">; </w:t>
      </w:r>
      <w:proofErr w:type="spellStart"/>
      <w:r w:rsidRPr="00FC4870">
        <w:t>Acuerdo</w:t>
      </w:r>
      <w:proofErr w:type="spellEnd"/>
      <w:r w:rsidRPr="00FC4870">
        <w:t xml:space="preserve"> de </w:t>
      </w:r>
      <w:proofErr w:type="spellStart"/>
      <w:r w:rsidRPr="00FC4870">
        <w:t>Basilea</w:t>
      </w:r>
      <w:proofErr w:type="spellEnd"/>
      <w:r w:rsidRPr="00FC4870">
        <w:t>.</w:t>
      </w:r>
    </w:p>
    <w:p w14:paraId="2951075F" w14:textId="77777777" w:rsidR="005C556A" w:rsidRPr="00A6077A" w:rsidRDefault="005C556A" w:rsidP="00A6077A">
      <w:pPr>
        <w:spacing w:after="120" w:line="240" w:lineRule="auto"/>
        <w:ind w:firstLine="567"/>
        <w:jc w:val="both"/>
        <w:rPr>
          <w:rFonts w:ascii="Times New Roman" w:hAnsi="Times New Roman" w:cs="Times New Roman"/>
          <w:b/>
          <w:sz w:val="24"/>
          <w:szCs w:val="24"/>
        </w:rPr>
      </w:pPr>
    </w:p>
    <w:p w14:paraId="32D803B1" w14:textId="684F9EA9" w:rsidR="00BB473E" w:rsidRPr="00C362DB" w:rsidRDefault="002E26C9" w:rsidP="0010012C">
      <w:pPr>
        <w:spacing w:after="120" w:line="240" w:lineRule="auto"/>
        <w:jc w:val="both"/>
        <w:rPr>
          <w:rFonts w:ascii="Times New Roman" w:hAnsi="Times New Roman" w:cs="Times New Roman"/>
          <w:b/>
          <w:sz w:val="24"/>
          <w:szCs w:val="24"/>
        </w:rPr>
      </w:pPr>
      <w:r w:rsidRPr="00C362DB">
        <w:rPr>
          <w:rFonts w:ascii="Times New Roman" w:hAnsi="Times New Roman" w:cs="Times New Roman"/>
          <w:b/>
          <w:sz w:val="24"/>
          <w:szCs w:val="24"/>
        </w:rPr>
        <w:t>1</w:t>
      </w:r>
      <w:r w:rsidR="0024530C" w:rsidRPr="00C362DB">
        <w:rPr>
          <w:rFonts w:ascii="Times New Roman" w:hAnsi="Times New Roman" w:cs="Times New Roman"/>
          <w:b/>
          <w:sz w:val="24"/>
          <w:szCs w:val="24"/>
        </w:rPr>
        <w:t xml:space="preserve"> </w:t>
      </w:r>
      <w:r w:rsidR="00514782" w:rsidRPr="00C362DB">
        <w:rPr>
          <w:rFonts w:ascii="Times New Roman" w:hAnsi="Times New Roman" w:cs="Times New Roman"/>
          <w:b/>
          <w:sz w:val="24"/>
          <w:szCs w:val="24"/>
        </w:rPr>
        <w:t>INTRODUÇÃO</w:t>
      </w:r>
    </w:p>
    <w:p w14:paraId="03C48731" w14:textId="6760B71F" w:rsidR="00C14F5E" w:rsidRPr="00C362DB" w:rsidRDefault="005370D7" w:rsidP="0010012C">
      <w:pPr>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Bancos são instituições que operam alavancados, ou seja, sua participação de capital próprio é substancialmente menor que a participação de capital de terceiros que financia suas operações. Vários estudos procuram definir alguns determinantes da estrutura de capital bancária</w:t>
      </w:r>
      <w:r w:rsidR="000F12A5">
        <w:rPr>
          <w:rFonts w:ascii="Times New Roman" w:hAnsi="Times New Roman" w:cs="Times New Roman"/>
          <w:sz w:val="24"/>
          <w:szCs w:val="24"/>
        </w:rPr>
        <w:t xml:space="preserve"> (OCTAVIA; BROWN, 20</w:t>
      </w:r>
      <w:r w:rsidR="0033550F">
        <w:rPr>
          <w:rFonts w:ascii="Times New Roman" w:hAnsi="Times New Roman" w:cs="Times New Roman"/>
          <w:sz w:val="24"/>
          <w:szCs w:val="24"/>
        </w:rPr>
        <w:t>10</w:t>
      </w:r>
      <w:r w:rsidR="000F12A5">
        <w:rPr>
          <w:rFonts w:ascii="Times New Roman" w:hAnsi="Times New Roman" w:cs="Times New Roman"/>
          <w:sz w:val="24"/>
          <w:szCs w:val="24"/>
        </w:rPr>
        <w:t>; AHMAD; ARIFF; SKULLY, 2009; GROPP; HEIDER, 2010)</w:t>
      </w:r>
      <w:r w:rsidRPr="00C362DB">
        <w:rPr>
          <w:rFonts w:ascii="Times New Roman" w:hAnsi="Times New Roman" w:cs="Times New Roman"/>
          <w:sz w:val="24"/>
          <w:szCs w:val="24"/>
        </w:rPr>
        <w:t>.</w:t>
      </w:r>
      <w:r w:rsidR="00C14F5E" w:rsidRPr="00C362DB">
        <w:rPr>
          <w:rFonts w:ascii="Times New Roman" w:hAnsi="Times New Roman" w:cs="Times New Roman"/>
          <w:sz w:val="24"/>
          <w:szCs w:val="24"/>
        </w:rPr>
        <w:t xml:space="preserve"> Dentre tais teorias, destaca-se a de que a inflação aumenta a relação entre Passivo Exigível em relação ao Ativo Total.</w:t>
      </w:r>
    </w:p>
    <w:p w14:paraId="324E78EA" w14:textId="5928676D" w:rsidR="00F87E2A" w:rsidRDefault="00745042" w:rsidP="0010012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 hipótese de que este fenômeno proporciona uma expansão monetária e que parte do dinheiro decorrente desta expansão se reflete em mais depósitos nos bancos, </w:t>
      </w:r>
      <w:r w:rsidRPr="00C362DB">
        <w:rPr>
          <w:rFonts w:ascii="Times New Roman" w:hAnsi="Times New Roman" w:cs="Times New Roman"/>
          <w:sz w:val="24"/>
          <w:szCs w:val="24"/>
        </w:rPr>
        <w:t xml:space="preserve">Hortlund (2005) </w:t>
      </w:r>
      <w:r>
        <w:rPr>
          <w:rFonts w:ascii="Times New Roman" w:hAnsi="Times New Roman" w:cs="Times New Roman"/>
          <w:sz w:val="24"/>
          <w:szCs w:val="24"/>
        </w:rPr>
        <w:t>infere que ao aumentar suas captações via depósito e aplicar estes montantes em operações lucrativas, os bancos tornam-se mais alavancados. O lucro decorrente destas operações sofre taxação, o que diminui o montante de dinheiro a ser retido no banco. O efeito do pagamento de dividendos com base no lucro contábil também descapitaliza estas instituições, aumen</w:t>
      </w:r>
      <w:r w:rsidR="00045F34">
        <w:rPr>
          <w:rFonts w:ascii="Times New Roman" w:hAnsi="Times New Roman" w:cs="Times New Roman"/>
          <w:sz w:val="24"/>
          <w:szCs w:val="24"/>
        </w:rPr>
        <w:t>tando assim a sua dívida total.</w:t>
      </w:r>
    </w:p>
    <w:p w14:paraId="31631FD8" w14:textId="33B1C58C" w:rsidR="0067098C" w:rsidRDefault="0067098C" w:rsidP="0010012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Jucá (2011), apoiada em indicadores macroeconômicos (crescimento do Produto Interno Bruto, volatilidade do retorno de mercado e inflação), afirma que os bancos são mais propensos ao risco sistemático que empresas de outros setores, sendo, desta forma, esperado que tais indicadores tenham impacto significativo na definição da estrutura de capital dos bancos.</w:t>
      </w:r>
    </w:p>
    <w:p w14:paraId="2ED7ED6C" w14:textId="02831BD0" w:rsidR="0029380D" w:rsidRPr="00C362DB" w:rsidRDefault="008A05F4" w:rsidP="0010012C">
      <w:pPr>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 xml:space="preserve">Diante do exposto, </w:t>
      </w:r>
      <w:r w:rsidR="00D648BD">
        <w:rPr>
          <w:rFonts w:ascii="Times New Roman" w:hAnsi="Times New Roman" w:cs="Times New Roman"/>
          <w:sz w:val="24"/>
          <w:szCs w:val="24"/>
        </w:rPr>
        <w:t>tem-se o seguinte problema de pesquisa: Qual o impacto da inflação sobre o endividamento das instituições financeiras brasileiras? O</w:t>
      </w:r>
      <w:r w:rsidRPr="00C362DB">
        <w:rPr>
          <w:rFonts w:ascii="Times New Roman" w:hAnsi="Times New Roman" w:cs="Times New Roman"/>
          <w:sz w:val="24"/>
          <w:szCs w:val="24"/>
        </w:rPr>
        <w:t xml:space="preserve"> objetivo deste trabalho é inferir sobre a relação entre a inflação o endividamento das instituições financeiras brasileiras no período de 1996 a 2013. </w:t>
      </w:r>
      <w:r w:rsidR="00FC46D3" w:rsidRPr="00C362DB">
        <w:rPr>
          <w:rFonts w:ascii="Times New Roman" w:hAnsi="Times New Roman" w:cs="Times New Roman"/>
          <w:sz w:val="24"/>
          <w:szCs w:val="24"/>
        </w:rPr>
        <w:t>Além dessa introdução, este trabalho cont</w:t>
      </w:r>
      <w:r w:rsidR="00B45FBF" w:rsidRPr="00C362DB">
        <w:rPr>
          <w:rFonts w:ascii="Times New Roman" w:hAnsi="Times New Roman" w:cs="Times New Roman"/>
          <w:sz w:val="24"/>
          <w:szCs w:val="24"/>
        </w:rPr>
        <w:t>é</w:t>
      </w:r>
      <w:r w:rsidR="00FC46D3" w:rsidRPr="00C362DB">
        <w:rPr>
          <w:rFonts w:ascii="Times New Roman" w:hAnsi="Times New Roman" w:cs="Times New Roman"/>
          <w:sz w:val="24"/>
          <w:szCs w:val="24"/>
        </w:rPr>
        <w:t>m</w:t>
      </w:r>
      <w:r w:rsidR="0029380D" w:rsidRPr="00C362DB">
        <w:rPr>
          <w:rFonts w:ascii="Times New Roman" w:hAnsi="Times New Roman" w:cs="Times New Roman"/>
          <w:sz w:val="24"/>
          <w:szCs w:val="24"/>
        </w:rPr>
        <w:t xml:space="preserve"> a segunda seção </w:t>
      </w:r>
      <w:r w:rsidR="00FC46D3" w:rsidRPr="00C362DB">
        <w:rPr>
          <w:rFonts w:ascii="Times New Roman" w:hAnsi="Times New Roman" w:cs="Times New Roman"/>
          <w:sz w:val="24"/>
          <w:szCs w:val="24"/>
        </w:rPr>
        <w:t xml:space="preserve">que </w:t>
      </w:r>
      <w:r w:rsidR="00FC46D3" w:rsidRPr="00C362DB">
        <w:rPr>
          <w:rFonts w:ascii="Times New Roman" w:hAnsi="Times New Roman" w:cs="Times New Roman"/>
          <w:sz w:val="24"/>
          <w:szCs w:val="24"/>
        </w:rPr>
        <w:lastRenderedPageBreak/>
        <w:t xml:space="preserve">apresenta </w:t>
      </w:r>
      <w:r w:rsidR="002E4AFF" w:rsidRPr="00C362DB">
        <w:rPr>
          <w:rFonts w:ascii="Times New Roman" w:hAnsi="Times New Roman" w:cs="Times New Roman"/>
          <w:sz w:val="24"/>
          <w:szCs w:val="24"/>
        </w:rPr>
        <w:t>o referencial teórico sobre capitalização bancária e inflação</w:t>
      </w:r>
      <w:r w:rsidR="0029380D" w:rsidRPr="00C362DB">
        <w:rPr>
          <w:rFonts w:ascii="Times New Roman" w:hAnsi="Times New Roman" w:cs="Times New Roman"/>
          <w:sz w:val="24"/>
          <w:szCs w:val="24"/>
        </w:rPr>
        <w:t xml:space="preserve">; a terceira parte </w:t>
      </w:r>
      <w:r w:rsidR="001A4986" w:rsidRPr="00C362DB">
        <w:rPr>
          <w:rFonts w:ascii="Times New Roman" w:hAnsi="Times New Roman" w:cs="Times New Roman"/>
          <w:sz w:val="24"/>
          <w:szCs w:val="24"/>
        </w:rPr>
        <w:t xml:space="preserve">é </w:t>
      </w:r>
      <w:r w:rsidR="00FC46D3" w:rsidRPr="00C362DB">
        <w:rPr>
          <w:rFonts w:ascii="Times New Roman" w:hAnsi="Times New Roman" w:cs="Times New Roman"/>
          <w:sz w:val="24"/>
          <w:szCs w:val="24"/>
        </w:rPr>
        <w:t>onde s</w:t>
      </w:r>
      <w:r w:rsidR="001A4986" w:rsidRPr="00C362DB">
        <w:rPr>
          <w:rFonts w:ascii="Times New Roman" w:hAnsi="Times New Roman" w:cs="Times New Roman"/>
          <w:sz w:val="24"/>
          <w:szCs w:val="24"/>
        </w:rPr>
        <w:t xml:space="preserve">ão descritos </w:t>
      </w:r>
      <w:r w:rsidR="00FC46D3" w:rsidRPr="00C362DB">
        <w:rPr>
          <w:rFonts w:ascii="Times New Roman" w:hAnsi="Times New Roman" w:cs="Times New Roman"/>
          <w:sz w:val="24"/>
          <w:szCs w:val="24"/>
        </w:rPr>
        <w:t>os procedimentos metodológicos utilizados</w:t>
      </w:r>
      <w:r w:rsidR="001432FC" w:rsidRPr="00C362DB">
        <w:rPr>
          <w:rFonts w:ascii="Times New Roman" w:hAnsi="Times New Roman" w:cs="Times New Roman"/>
          <w:sz w:val="24"/>
          <w:szCs w:val="24"/>
        </w:rPr>
        <w:t xml:space="preserve">; </w:t>
      </w:r>
      <w:r w:rsidR="00FC46D3" w:rsidRPr="00C362DB">
        <w:rPr>
          <w:rFonts w:ascii="Times New Roman" w:hAnsi="Times New Roman" w:cs="Times New Roman"/>
          <w:sz w:val="24"/>
          <w:szCs w:val="24"/>
        </w:rPr>
        <w:t>a</w:t>
      </w:r>
      <w:r w:rsidR="0029380D" w:rsidRPr="00C362DB">
        <w:rPr>
          <w:rFonts w:ascii="Times New Roman" w:hAnsi="Times New Roman" w:cs="Times New Roman"/>
          <w:sz w:val="24"/>
          <w:szCs w:val="24"/>
        </w:rPr>
        <w:t xml:space="preserve"> quarta </w:t>
      </w:r>
      <w:r w:rsidR="00FC46D3" w:rsidRPr="00C362DB">
        <w:rPr>
          <w:rFonts w:ascii="Times New Roman" w:hAnsi="Times New Roman" w:cs="Times New Roman"/>
          <w:sz w:val="24"/>
          <w:szCs w:val="24"/>
        </w:rPr>
        <w:t xml:space="preserve">seção </w:t>
      </w:r>
      <w:r w:rsidR="0029380D" w:rsidRPr="00C362DB">
        <w:rPr>
          <w:rFonts w:ascii="Times New Roman" w:hAnsi="Times New Roman" w:cs="Times New Roman"/>
          <w:sz w:val="24"/>
          <w:szCs w:val="24"/>
        </w:rPr>
        <w:t xml:space="preserve">apresenta e </w:t>
      </w:r>
      <w:r w:rsidR="00FC46D3" w:rsidRPr="00C362DB">
        <w:rPr>
          <w:rFonts w:ascii="Times New Roman" w:hAnsi="Times New Roman" w:cs="Times New Roman"/>
          <w:sz w:val="24"/>
          <w:szCs w:val="24"/>
        </w:rPr>
        <w:t xml:space="preserve">analisa </w:t>
      </w:r>
      <w:r w:rsidR="0029380D" w:rsidRPr="00C362DB">
        <w:rPr>
          <w:rFonts w:ascii="Times New Roman" w:hAnsi="Times New Roman" w:cs="Times New Roman"/>
          <w:sz w:val="24"/>
          <w:szCs w:val="24"/>
        </w:rPr>
        <w:t>os resultados encontrados; e na quinta s</w:t>
      </w:r>
      <w:r w:rsidR="00B45FBF" w:rsidRPr="00C362DB">
        <w:rPr>
          <w:rFonts w:ascii="Times New Roman" w:hAnsi="Times New Roman" w:cs="Times New Roman"/>
          <w:sz w:val="24"/>
          <w:szCs w:val="24"/>
        </w:rPr>
        <w:t>ão</w:t>
      </w:r>
      <w:r w:rsidR="0029380D" w:rsidRPr="00C362DB">
        <w:rPr>
          <w:rFonts w:ascii="Times New Roman" w:hAnsi="Times New Roman" w:cs="Times New Roman"/>
          <w:sz w:val="24"/>
          <w:szCs w:val="24"/>
        </w:rPr>
        <w:t xml:space="preserve"> </w:t>
      </w:r>
      <w:r w:rsidR="00B45FBF" w:rsidRPr="00C362DB">
        <w:rPr>
          <w:rFonts w:ascii="Times New Roman" w:hAnsi="Times New Roman" w:cs="Times New Roman"/>
          <w:sz w:val="24"/>
          <w:szCs w:val="24"/>
        </w:rPr>
        <w:t xml:space="preserve">feitas as </w:t>
      </w:r>
      <w:r w:rsidR="0029380D" w:rsidRPr="00C362DB">
        <w:rPr>
          <w:rFonts w:ascii="Times New Roman" w:hAnsi="Times New Roman" w:cs="Times New Roman"/>
          <w:sz w:val="24"/>
          <w:szCs w:val="24"/>
        </w:rPr>
        <w:t>considerações finais.</w:t>
      </w:r>
    </w:p>
    <w:p w14:paraId="1C7CFD95" w14:textId="2D2111BA" w:rsidR="00453A49" w:rsidRPr="00C362DB" w:rsidRDefault="00514782" w:rsidP="0010012C">
      <w:pPr>
        <w:spacing w:after="120" w:line="240" w:lineRule="auto"/>
        <w:jc w:val="both"/>
        <w:rPr>
          <w:rFonts w:ascii="Times New Roman" w:hAnsi="Times New Roman" w:cs="Times New Roman"/>
          <w:b/>
          <w:sz w:val="24"/>
          <w:szCs w:val="24"/>
        </w:rPr>
      </w:pPr>
      <w:r w:rsidRPr="00C362DB">
        <w:rPr>
          <w:rFonts w:ascii="Times New Roman" w:hAnsi="Times New Roman" w:cs="Times New Roman"/>
          <w:b/>
          <w:sz w:val="24"/>
          <w:szCs w:val="24"/>
        </w:rPr>
        <w:t>2 REFERENCIAL TEÓRICO</w:t>
      </w:r>
    </w:p>
    <w:p w14:paraId="689BD2D1" w14:textId="432E1FF9" w:rsidR="005B2C33" w:rsidRPr="00C362DB" w:rsidRDefault="000B468D" w:rsidP="0010012C">
      <w:pPr>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Nessa seção, são revisados os pressupostos teóricos e discutidos brevemente outros estudos que são adicionados à formulação da</w:t>
      </w:r>
      <w:r w:rsidR="00CB0F51" w:rsidRPr="00C362DB">
        <w:rPr>
          <w:rFonts w:ascii="Times New Roman" w:hAnsi="Times New Roman" w:cs="Times New Roman"/>
          <w:sz w:val="24"/>
          <w:szCs w:val="24"/>
        </w:rPr>
        <w:t>s</w:t>
      </w:r>
      <w:r w:rsidRPr="00C362DB">
        <w:rPr>
          <w:rFonts w:ascii="Times New Roman" w:hAnsi="Times New Roman" w:cs="Times New Roman"/>
          <w:sz w:val="24"/>
          <w:szCs w:val="24"/>
        </w:rPr>
        <w:t xml:space="preserve"> hipótese</w:t>
      </w:r>
      <w:r w:rsidR="00CB0F51" w:rsidRPr="00C362DB">
        <w:rPr>
          <w:rFonts w:ascii="Times New Roman" w:hAnsi="Times New Roman" w:cs="Times New Roman"/>
          <w:sz w:val="24"/>
          <w:szCs w:val="24"/>
        </w:rPr>
        <w:t>s de pesquisa.</w:t>
      </w:r>
    </w:p>
    <w:p w14:paraId="2942FA51" w14:textId="5ABD00E9" w:rsidR="000A79CA" w:rsidRPr="00C362DB" w:rsidRDefault="00514782" w:rsidP="0010012C">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C362DB">
        <w:rPr>
          <w:rFonts w:ascii="Times New Roman" w:hAnsi="Times New Roman" w:cs="Times New Roman"/>
          <w:b/>
          <w:sz w:val="24"/>
          <w:szCs w:val="24"/>
        </w:rPr>
        <w:t>.</w:t>
      </w:r>
      <w:r>
        <w:rPr>
          <w:rFonts w:ascii="Times New Roman" w:hAnsi="Times New Roman" w:cs="Times New Roman"/>
          <w:b/>
          <w:sz w:val="24"/>
          <w:szCs w:val="24"/>
        </w:rPr>
        <w:t>1</w:t>
      </w:r>
      <w:r w:rsidRPr="00C362DB">
        <w:rPr>
          <w:rFonts w:ascii="Times New Roman" w:hAnsi="Times New Roman" w:cs="Times New Roman"/>
          <w:b/>
          <w:sz w:val="24"/>
          <w:szCs w:val="24"/>
        </w:rPr>
        <w:t xml:space="preserve"> CAPITALIZAÇÃO BANCÁRIA</w:t>
      </w:r>
    </w:p>
    <w:p w14:paraId="485412C9" w14:textId="3E1A7A11" w:rsidR="00806EC5" w:rsidRPr="00C362DB" w:rsidRDefault="0018508B" w:rsidP="0010012C">
      <w:pPr>
        <w:autoSpaceDE w:val="0"/>
        <w:autoSpaceDN w:val="0"/>
        <w:adjustRightInd w:val="0"/>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Atuando principalmente como intermediários entre os poupadores de recursos e os tomadores destes, os bancos são entidades naturalmente alavancadas, onde seu passivo é composto principalmente por depósitos efetuados por seus correntistas e títulos de dívida vendidos para se acumular capital para investimentos em outros ativos.</w:t>
      </w:r>
    </w:p>
    <w:p w14:paraId="63C600D3" w14:textId="252DDF29" w:rsidR="0018508B" w:rsidRPr="00C362DB" w:rsidRDefault="0018508B" w:rsidP="0010012C">
      <w:pPr>
        <w:autoSpaceDE w:val="0"/>
        <w:autoSpaceDN w:val="0"/>
        <w:adjustRightInd w:val="0"/>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 xml:space="preserve">Para reduzir a tomada de riscos destas instituições em razão do risco moral advindo do volume de capital de terceiros envolvido em suas operações, instituições reguladoras impõem políticas de acumulação de um capital mínimo para fazer frente a prováveis perdas e desequilíbrios econômicos </w:t>
      </w:r>
      <w:r w:rsidR="0067098C">
        <w:rPr>
          <w:rFonts w:ascii="Times New Roman" w:hAnsi="Times New Roman" w:cs="Times New Roman"/>
          <w:sz w:val="24"/>
          <w:szCs w:val="24"/>
        </w:rPr>
        <w:t>provenientes</w:t>
      </w:r>
      <w:r w:rsidRPr="00C362DB">
        <w:rPr>
          <w:rFonts w:ascii="Times New Roman" w:hAnsi="Times New Roman" w:cs="Times New Roman"/>
          <w:sz w:val="24"/>
          <w:szCs w:val="24"/>
        </w:rPr>
        <w:t xml:space="preserve"> de suas operações.</w:t>
      </w:r>
    </w:p>
    <w:p w14:paraId="1A1FEA58" w14:textId="30C98DB9" w:rsidR="00F92A4A" w:rsidRPr="00C362DB" w:rsidRDefault="004F5358" w:rsidP="0010012C">
      <w:pPr>
        <w:autoSpaceDE w:val="0"/>
        <w:autoSpaceDN w:val="0"/>
        <w:adjustRightInd w:val="0"/>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Frente à expansão e desregulação das operações bancárias ocorridas principalmente nos anos 70 e 80, esta situação tornou-se cada vez mais perigosa, onde a necessidade da criação de algum órgão regulador deu origem ao Comitê de</w:t>
      </w:r>
      <w:r w:rsidR="00A84171">
        <w:rPr>
          <w:rFonts w:ascii="Times New Roman" w:hAnsi="Times New Roman" w:cs="Times New Roman"/>
          <w:sz w:val="24"/>
          <w:szCs w:val="24"/>
        </w:rPr>
        <w:t xml:space="preserve"> Supervisão Bancária da</w:t>
      </w:r>
      <w:r w:rsidRPr="00C362DB">
        <w:rPr>
          <w:rFonts w:ascii="Times New Roman" w:hAnsi="Times New Roman" w:cs="Times New Roman"/>
          <w:sz w:val="24"/>
          <w:szCs w:val="24"/>
        </w:rPr>
        <w:t xml:space="preserve"> Basileia</w:t>
      </w:r>
      <w:r w:rsidR="00A84171">
        <w:rPr>
          <w:rFonts w:ascii="Times New Roman" w:hAnsi="Times New Roman" w:cs="Times New Roman"/>
          <w:sz w:val="24"/>
          <w:szCs w:val="24"/>
        </w:rPr>
        <w:t>,</w:t>
      </w:r>
      <w:r w:rsidR="00A84171" w:rsidRPr="00A84171">
        <w:rPr>
          <w:rFonts w:ascii="Times New Roman" w:hAnsi="Times New Roman" w:cs="Times New Roman"/>
          <w:sz w:val="24"/>
          <w:szCs w:val="24"/>
        </w:rPr>
        <w:t xml:space="preserve"> </w:t>
      </w:r>
      <w:r w:rsidR="00A84171">
        <w:rPr>
          <w:rFonts w:ascii="Times New Roman" w:hAnsi="Times New Roman" w:cs="Times New Roman"/>
          <w:sz w:val="24"/>
          <w:szCs w:val="24"/>
        </w:rPr>
        <w:t>órgão patrocinado pelo BIS (</w:t>
      </w:r>
      <w:r w:rsidR="00A84171" w:rsidRPr="00AB4C24">
        <w:rPr>
          <w:rFonts w:ascii="Times New Roman" w:hAnsi="Times New Roman" w:cs="Times New Roman"/>
          <w:i/>
          <w:sz w:val="24"/>
          <w:szCs w:val="24"/>
        </w:rPr>
        <w:t xml:space="preserve">Bank for </w:t>
      </w:r>
      <w:proofErr w:type="spellStart"/>
      <w:r w:rsidR="00A84171" w:rsidRPr="00AB4C24">
        <w:rPr>
          <w:rFonts w:ascii="Times New Roman" w:hAnsi="Times New Roman" w:cs="Times New Roman"/>
          <w:i/>
          <w:sz w:val="24"/>
          <w:szCs w:val="24"/>
        </w:rPr>
        <w:t>International</w:t>
      </w:r>
      <w:proofErr w:type="spellEnd"/>
      <w:r w:rsidR="00A84171" w:rsidRPr="00AB4C24">
        <w:rPr>
          <w:rFonts w:ascii="Times New Roman" w:hAnsi="Times New Roman" w:cs="Times New Roman"/>
          <w:i/>
          <w:sz w:val="24"/>
          <w:szCs w:val="24"/>
        </w:rPr>
        <w:t xml:space="preserve"> </w:t>
      </w:r>
      <w:proofErr w:type="spellStart"/>
      <w:r w:rsidR="00A84171" w:rsidRPr="00AB4C24">
        <w:rPr>
          <w:rFonts w:ascii="Times New Roman" w:hAnsi="Times New Roman" w:cs="Times New Roman"/>
          <w:i/>
          <w:sz w:val="24"/>
          <w:szCs w:val="24"/>
        </w:rPr>
        <w:t>Settlements</w:t>
      </w:r>
      <w:proofErr w:type="spellEnd"/>
      <w:r w:rsidR="00A84171">
        <w:rPr>
          <w:rFonts w:ascii="Times New Roman" w:hAnsi="Times New Roman" w:cs="Times New Roman"/>
          <w:sz w:val="24"/>
          <w:szCs w:val="24"/>
        </w:rPr>
        <w:t>)</w:t>
      </w:r>
      <w:r w:rsidRPr="00C362DB">
        <w:rPr>
          <w:rFonts w:ascii="Times New Roman" w:hAnsi="Times New Roman" w:cs="Times New Roman"/>
          <w:sz w:val="24"/>
          <w:szCs w:val="24"/>
        </w:rPr>
        <w:t xml:space="preserve">. Este comitê iniciou um processo de definição de regras que resultaram em iniciativas para diminuir a alta alavancagem à qual os bancos estavam sujeitos, sendo seu primeiro ato a </w:t>
      </w:r>
      <w:r w:rsidR="00D36643">
        <w:rPr>
          <w:rFonts w:ascii="Times New Roman" w:hAnsi="Times New Roman" w:cs="Times New Roman"/>
          <w:sz w:val="24"/>
          <w:szCs w:val="24"/>
        </w:rPr>
        <w:t xml:space="preserve">assinatura </w:t>
      </w:r>
      <w:r w:rsidRPr="00C362DB">
        <w:rPr>
          <w:rFonts w:ascii="Times New Roman" w:hAnsi="Times New Roman" w:cs="Times New Roman"/>
          <w:sz w:val="24"/>
          <w:szCs w:val="24"/>
        </w:rPr>
        <w:t>do Acordo de Basileia (Basileia I), assinado em 1988 (ANBIMA, 2010).</w:t>
      </w:r>
    </w:p>
    <w:p w14:paraId="39A2DE9D" w14:textId="3F4EBB6A" w:rsidR="0018508B" w:rsidRPr="00C362DB" w:rsidRDefault="004F5358" w:rsidP="0010012C">
      <w:pPr>
        <w:autoSpaceDE w:val="0"/>
        <w:autoSpaceDN w:val="0"/>
        <w:adjustRightInd w:val="0"/>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Este primeiro acordo objetivou</w:t>
      </w:r>
      <w:r w:rsidR="00345E6A">
        <w:rPr>
          <w:rFonts w:ascii="Times New Roman" w:hAnsi="Times New Roman" w:cs="Times New Roman"/>
          <w:sz w:val="24"/>
          <w:szCs w:val="24"/>
        </w:rPr>
        <w:t>,</w:t>
      </w:r>
      <w:r w:rsidRPr="00C362DB">
        <w:rPr>
          <w:rFonts w:ascii="Times New Roman" w:hAnsi="Times New Roman" w:cs="Times New Roman"/>
          <w:sz w:val="24"/>
          <w:szCs w:val="24"/>
        </w:rPr>
        <w:t xml:space="preserve"> principalmente</w:t>
      </w:r>
      <w:r w:rsidR="00345E6A">
        <w:rPr>
          <w:rFonts w:ascii="Times New Roman" w:hAnsi="Times New Roman" w:cs="Times New Roman"/>
          <w:sz w:val="24"/>
          <w:szCs w:val="24"/>
        </w:rPr>
        <w:t>,</w:t>
      </w:r>
      <w:r w:rsidRPr="00C362DB">
        <w:rPr>
          <w:rFonts w:ascii="Times New Roman" w:hAnsi="Times New Roman" w:cs="Times New Roman"/>
          <w:sz w:val="24"/>
          <w:szCs w:val="24"/>
        </w:rPr>
        <w:t xml:space="preserve"> definir um nível mínimo de capital </w:t>
      </w:r>
      <w:r w:rsidR="00C1235E" w:rsidRPr="00C362DB">
        <w:rPr>
          <w:rFonts w:ascii="Times New Roman" w:hAnsi="Times New Roman" w:cs="Times New Roman"/>
          <w:sz w:val="24"/>
          <w:szCs w:val="24"/>
        </w:rPr>
        <w:t xml:space="preserve">(equivalente a 8% do valor dos seus ativos ponderados pelo seu risco) </w:t>
      </w:r>
      <w:r w:rsidRPr="00C362DB">
        <w:rPr>
          <w:rFonts w:ascii="Times New Roman" w:hAnsi="Times New Roman" w:cs="Times New Roman"/>
          <w:sz w:val="24"/>
          <w:szCs w:val="24"/>
        </w:rPr>
        <w:t xml:space="preserve">com o qual os bancos deveriam operar para garantir a saúde do sistema financeiro dos países envolvidos no acordo. </w:t>
      </w:r>
      <w:r w:rsidR="00C1235E" w:rsidRPr="00C362DB">
        <w:rPr>
          <w:rFonts w:ascii="Times New Roman" w:hAnsi="Times New Roman" w:cs="Times New Roman"/>
          <w:sz w:val="24"/>
          <w:szCs w:val="24"/>
        </w:rPr>
        <w:t>O segundo Acordo de Basileia (Basileia II) foi emitido em junho de 2004 e</w:t>
      </w:r>
      <w:r w:rsidR="00345E6A">
        <w:rPr>
          <w:rFonts w:ascii="Times New Roman" w:hAnsi="Times New Roman" w:cs="Times New Roman"/>
          <w:sz w:val="24"/>
          <w:szCs w:val="24"/>
        </w:rPr>
        <w:t>,</w:t>
      </w:r>
      <w:r w:rsidR="00C1235E" w:rsidRPr="00C362DB">
        <w:rPr>
          <w:rFonts w:ascii="Times New Roman" w:hAnsi="Times New Roman" w:cs="Times New Roman"/>
          <w:sz w:val="24"/>
          <w:szCs w:val="24"/>
        </w:rPr>
        <w:t xml:space="preserve"> dentre as mudanças trazidas</w:t>
      </w:r>
      <w:r w:rsidR="00345E6A">
        <w:rPr>
          <w:rFonts w:ascii="Times New Roman" w:hAnsi="Times New Roman" w:cs="Times New Roman"/>
          <w:sz w:val="24"/>
          <w:szCs w:val="24"/>
        </w:rPr>
        <w:t>,</w:t>
      </w:r>
      <w:r w:rsidR="00C1235E" w:rsidRPr="00C362DB">
        <w:rPr>
          <w:rFonts w:ascii="Times New Roman" w:hAnsi="Times New Roman" w:cs="Times New Roman"/>
          <w:sz w:val="24"/>
          <w:szCs w:val="24"/>
        </w:rPr>
        <w:t xml:space="preserve"> destacou-se o fato deste acordo promover a adoção de práticas mais rigorosas na gestão de risco dos bancos (BALTHAZAR, 2006).</w:t>
      </w:r>
    </w:p>
    <w:p w14:paraId="10DB2EA8" w14:textId="7E5FF0DA" w:rsidR="00884310" w:rsidRDefault="00884310" w:rsidP="0010012C">
      <w:pPr>
        <w:autoSpaceDE w:val="0"/>
        <w:autoSpaceDN w:val="0"/>
        <w:adjustRightInd w:val="0"/>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Como reflexo da crise financeira de 2008</w:t>
      </w:r>
      <w:r w:rsidR="00056FCD" w:rsidRPr="00C362DB">
        <w:rPr>
          <w:rFonts w:ascii="Times New Roman" w:hAnsi="Times New Roman" w:cs="Times New Roman"/>
          <w:sz w:val="24"/>
          <w:szCs w:val="24"/>
        </w:rPr>
        <w:t xml:space="preserve">, houve a </w:t>
      </w:r>
      <w:r w:rsidR="00A72247">
        <w:rPr>
          <w:rFonts w:ascii="Times New Roman" w:hAnsi="Times New Roman" w:cs="Times New Roman"/>
          <w:sz w:val="24"/>
          <w:szCs w:val="24"/>
        </w:rPr>
        <w:t xml:space="preserve">adição de </w:t>
      </w:r>
      <w:r w:rsidR="0012226B">
        <w:rPr>
          <w:rFonts w:ascii="Times New Roman" w:hAnsi="Times New Roman" w:cs="Times New Roman"/>
          <w:sz w:val="24"/>
          <w:szCs w:val="24"/>
        </w:rPr>
        <w:t xml:space="preserve">novas propostas de </w:t>
      </w:r>
      <w:r w:rsidR="00A72247">
        <w:rPr>
          <w:rFonts w:ascii="Times New Roman" w:hAnsi="Times New Roman" w:cs="Times New Roman"/>
          <w:sz w:val="24"/>
          <w:szCs w:val="24"/>
        </w:rPr>
        <w:t xml:space="preserve">emendas </w:t>
      </w:r>
      <w:r w:rsidR="00BA63B2">
        <w:rPr>
          <w:rFonts w:ascii="Times New Roman" w:hAnsi="Times New Roman" w:cs="Times New Roman"/>
          <w:sz w:val="24"/>
          <w:szCs w:val="24"/>
        </w:rPr>
        <w:t>pelo Comitê de Basileia</w:t>
      </w:r>
      <w:r w:rsidR="00BA63B2" w:rsidRPr="00C362DB" w:rsidDel="0012226B">
        <w:rPr>
          <w:rFonts w:ascii="Times New Roman" w:hAnsi="Times New Roman" w:cs="Times New Roman"/>
          <w:sz w:val="24"/>
          <w:szCs w:val="24"/>
        </w:rPr>
        <w:t xml:space="preserve"> </w:t>
      </w:r>
      <w:r w:rsidR="0012226B">
        <w:rPr>
          <w:rFonts w:ascii="Times New Roman" w:hAnsi="Times New Roman" w:cs="Times New Roman"/>
          <w:sz w:val="24"/>
          <w:szCs w:val="24"/>
        </w:rPr>
        <w:t xml:space="preserve">ao segundo </w:t>
      </w:r>
      <w:r w:rsidR="00BA63B2">
        <w:rPr>
          <w:rFonts w:ascii="Times New Roman" w:hAnsi="Times New Roman" w:cs="Times New Roman"/>
          <w:sz w:val="24"/>
          <w:szCs w:val="24"/>
        </w:rPr>
        <w:t>acordo</w:t>
      </w:r>
      <w:r w:rsidR="0012226B">
        <w:rPr>
          <w:rFonts w:ascii="Times New Roman" w:hAnsi="Times New Roman" w:cs="Times New Roman"/>
          <w:sz w:val="24"/>
          <w:szCs w:val="24"/>
        </w:rPr>
        <w:t xml:space="preserve">, resultando num novo </w:t>
      </w:r>
      <w:r w:rsidR="00C143AD">
        <w:rPr>
          <w:rFonts w:ascii="Times New Roman" w:hAnsi="Times New Roman" w:cs="Times New Roman"/>
          <w:sz w:val="24"/>
          <w:szCs w:val="24"/>
        </w:rPr>
        <w:t>tratado</w:t>
      </w:r>
      <w:r w:rsidR="0012226B">
        <w:rPr>
          <w:rFonts w:ascii="Times New Roman" w:hAnsi="Times New Roman" w:cs="Times New Roman"/>
          <w:sz w:val="24"/>
          <w:szCs w:val="24"/>
        </w:rPr>
        <w:t xml:space="preserve"> </w:t>
      </w:r>
      <w:r w:rsidR="00056FCD" w:rsidRPr="00C362DB">
        <w:rPr>
          <w:rFonts w:ascii="Times New Roman" w:hAnsi="Times New Roman" w:cs="Times New Roman"/>
          <w:sz w:val="24"/>
          <w:szCs w:val="24"/>
        </w:rPr>
        <w:t>(Basileia III)</w:t>
      </w:r>
      <w:r w:rsidR="00345E6A">
        <w:rPr>
          <w:rFonts w:ascii="Times New Roman" w:hAnsi="Times New Roman" w:cs="Times New Roman"/>
          <w:sz w:val="24"/>
          <w:szCs w:val="24"/>
        </w:rPr>
        <w:t>,</w:t>
      </w:r>
      <w:r w:rsidR="00056FCD" w:rsidRPr="00C362DB">
        <w:rPr>
          <w:rFonts w:ascii="Times New Roman" w:hAnsi="Times New Roman" w:cs="Times New Roman"/>
          <w:sz w:val="24"/>
          <w:szCs w:val="24"/>
        </w:rPr>
        <w:t xml:space="preserve"> </w:t>
      </w:r>
      <w:r w:rsidR="00D2180F">
        <w:rPr>
          <w:rFonts w:ascii="Times New Roman" w:hAnsi="Times New Roman" w:cs="Times New Roman"/>
          <w:sz w:val="24"/>
          <w:szCs w:val="24"/>
        </w:rPr>
        <w:t>levando</w:t>
      </w:r>
      <w:r w:rsidR="00056FCD" w:rsidRPr="00C362DB">
        <w:rPr>
          <w:rFonts w:ascii="Times New Roman" w:hAnsi="Times New Roman" w:cs="Times New Roman"/>
          <w:sz w:val="24"/>
          <w:szCs w:val="24"/>
        </w:rPr>
        <w:t xml:space="preserve"> o Banco Central do Brasil </w:t>
      </w:r>
      <w:r w:rsidR="009205BE">
        <w:rPr>
          <w:rFonts w:ascii="Times New Roman" w:hAnsi="Times New Roman" w:cs="Times New Roman"/>
          <w:sz w:val="24"/>
          <w:szCs w:val="24"/>
        </w:rPr>
        <w:t xml:space="preserve">a </w:t>
      </w:r>
      <w:r w:rsidR="00056FCD" w:rsidRPr="00C362DB">
        <w:rPr>
          <w:rFonts w:ascii="Times New Roman" w:hAnsi="Times New Roman" w:cs="Times New Roman"/>
          <w:sz w:val="24"/>
          <w:szCs w:val="24"/>
        </w:rPr>
        <w:t>defini</w:t>
      </w:r>
      <w:r w:rsidR="009205BE">
        <w:rPr>
          <w:rFonts w:ascii="Times New Roman" w:hAnsi="Times New Roman" w:cs="Times New Roman"/>
          <w:sz w:val="24"/>
          <w:szCs w:val="24"/>
        </w:rPr>
        <w:t>r</w:t>
      </w:r>
      <w:r w:rsidR="00056FCD" w:rsidRPr="00C362DB">
        <w:rPr>
          <w:rFonts w:ascii="Times New Roman" w:hAnsi="Times New Roman" w:cs="Times New Roman"/>
          <w:sz w:val="24"/>
          <w:szCs w:val="24"/>
        </w:rPr>
        <w:t xml:space="preserve"> um cronograma para adequação às novas regras</w:t>
      </w:r>
      <w:r w:rsidR="00345E6A">
        <w:rPr>
          <w:rFonts w:ascii="Times New Roman" w:hAnsi="Times New Roman" w:cs="Times New Roman"/>
          <w:sz w:val="24"/>
          <w:szCs w:val="24"/>
        </w:rPr>
        <w:t>,</w:t>
      </w:r>
      <w:r w:rsidR="00056FCD" w:rsidRPr="00C362DB">
        <w:rPr>
          <w:rFonts w:ascii="Times New Roman" w:hAnsi="Times New Roman" w:cs="Times New Roman"/>
          <w:sz w:val="24"/>
          <w:szCs w:val="24"/>
        </w:rPr>
        <w:t xml:space="preserve"> iniciando-se pelo ano de 2011</w:t>
      </w:r>
      <w:r w:rsidR="00345E6A">
        <w:rPr>
          <w:rFonts w:ascii="Times New Roman" w:hAnsi="Times New Roman" w:cs="Times New Roman"/>
          <w:sz w:val="24"/>
          <w:szCs w:val="24"/>
        </w:rPr>
        <w:t>,</w:t>
      </w:r>
      <w:r w:rsidR="00056FCD" w:rsidRPr="00C362DB">
        <w:rPr>
          <w:rFonts w:ascii="Times New Roman" w:hAnsi="Times New Roman" w:cs="Times New Roman"/>
          <w:sz w:val="24"/>
          <w:szCs w:val="24"/>
        </w:rPr>
        <w:t xml:space="preserve"> com a nova definição do Patrimônio de Referência</w:t>
      </w:r>
      <w:r w:rsidR="00345E6A">
        <w:rPr>
          <w:rFonts w:ascii="Times New Roman" w:hAnsi="Times New Roman" w:cs="Times New Roman"/>
          <w:sz w:val="24"/>
          <w:szCs w:val="24"/>
        </w:rPr>
        <w:t>,</w:t>
      </w:r>
      <w:r w:rsidR="00056FCD" w:rsidRPr="00C362DB">
        <w:rPr>
          <w:rFonts w:ascii="Times New Roman" w:hAnsi="Times New Roman" w:cs="Times New Roman"/>
          <w:sz w:val="24"/>
          <w:szCs w:val="24"/>
        </w:rPr>
        <w:t xml:space="preserve"> que deveria ser utilizado pelos bancos para o cálculo da sua capitalização mínima.</w:t>
      </w:r>
    </w:p>
    <w:p w14:paraId="063611E1" w14:textId="5C3D3065" w:rsidR="0067098C" w:rsidRPr="00C362DB" w:rsidRDefault="0067098C" w:rsidP="0010012C">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Demirgüç-Kunt e Detragiache (2002) argumentam que a existência de seguros sobre os depósitos dos credores dos bancos dá origem ao surgimento do risco moral, em razão dos credores serem estimulados a fazer depósitos bancários, pois estes estão protegidos pelo seguro (no Brasil, o órgão responsável por esta função é o Fundo Garantidor de Crédito – FGC), onde os bancos aplicam esses recursos em operações mais arriscadas, com o objetivo de auferir grandes lucros. Como resultado, os seguros de depósitos </w:t>
      </w:r>
      <w:r w:rsidR="00B54111">
        <w:rPr>
          <w:rFonts w:ascii="Times New Roman" w:hAnsi="Times New Roman" w:cs="Times New Roman"/>
          <w:sz w:val="24"/>
          <w:szCs w:val="24"/>
        </w:rPr>
        <w:t>aumentam</w:t>
      </w:r>
      <w:r>
        <w:rPr>
          <w:rFonts w:ascii="Times New Roman" w:hAnsi="Times New Roman" w:cs="Times New Roman"/>
          <w:sz w:val="24"/>
          <w:szCs w:val="24"/>
        </w:rPr>
        <w:t xml:space="preserve"> a alavancagem destas instituições.</w:t>
      </w:r>
    </w:p>
    <w:p w14:paraId="49F3AE23" w14:textId="2565A2AA" w:rsidR="00F87E2A" w:rsidRPr="00C362DB" w:rsidRDefault="00514782" w:rsidP="0010012C">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Pr="00C362DB">
        <w:rPr>
          <w:rFonts w:ascii="Times New Roman" w:hAnsi="Times New Roman" w:cs="Times New Roman"/>
          <w:b/>
          <w:sz w:val="24"/>
          <w:szCs w:val="24"/>
        </w:rPr>
        <w:t xml:space="preserve"> INFLAÇÃO</w:t>
      </w:r>
    </w:p>
    <w:p w14:paraId="48E432A4" w14:textId="738F5227" w:rsidR="00F87E2A" w:rsidRDefault="00502A17" w:rsidP="0010012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termo inflação </w:t>
      </w:r>
      <w:r w:rsidR="00E91B48">
        <w:rPr>
          <w:rFonts w:ascii="Times New Roman" w:hAnsi="Times New Roman" w:cs="Times New Roman"/>
          <w:sz w:val="24"/>
          <w:szCs w:val="24"/>
        </w:rPr>
        <w:t>é definido por Assaf Neto (2011</w:t>
      </w:r>
      <w:r w:rsidR="00FC76A9">
        <w:rPr>
          <w:rFonts w:ascii="Times New Roman" w:hAnsi="Times New Roman" w:cs="Times New Roman"/>
          <w:sz w:val="24"/>
          <w:szCs w:val="24"/>
        </w:rPr>
        <w:t>, p. 30</w:t>
      </w:r>
      <w:r>
        <w:rPr>
          <w:rFonts w:ascii="Times New Roman" w:hAnsi="Times New Roman" w:cs="Times New Roman"/>
          <w:sz w:val="24"/>
          <w:szCs w:val="24"/>
        </w:rPr>
        <w:t>) como “um fenômeno econômico e pode ser interpretada como uma variação (aumento) contínua nos preços gerais da economia</w:t>
      </w:r>
      <w:r w:rsidR="00E91B48">
        <w:rPr>
          <w:rFonts w:ascii="Times New Roman" w:hAnsi="Times New Roman" w:cs="Times New Roman"/>
          <w:sz w:val="24"/>
          <w:szCs w:val="24"/>
        </w:rPr>
        <w:t xml:space="preserve"> durante certo período de tempo”. Dentre suas consequências, está a perda da capacidade de compra ou poder aquisitivo da moeda.</w:t>
      </w:r>
    </w:p>
    <w:p w14:paraId="64F2A3EB" w14:textId="0EA93377" w:rsidR="007C716F" w:rsidRDefault="007C716F" w:rsidP="00494F8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 inflação pode ser um sério problema para um país, à medida que desestimula novos investimentos e diminui o poder de compra da população. Ao longo da história, o Brasil apresentou vários planos de combate à inflação, </w:t>
      </w:r>
      <w:r w:rsidR="002C2DCD">
        <w:rPr>
          <w:rFonts w:ascii="Times New Roman" w:hAnsi="Times New Roman" w:cs="Times New Roman"/>
          <w:sz w:val="24"/>
          <w:szCs w:val="24"/>
        </w:rPr>
        <w:t xml:space="preserve">tornando-se </w:t>
      </w:r>
      <w:r>
        <w:rPr>
          <w:rFonts w:ascii="Times New Roman" w:hAnsi="Times New Roman" w:cs="Times New Roman"/>
          <w:sz w:val="24"/>
          <w:szCs w:val="24"/>
        </w:rPr>
        <w:t xml:space="preserve">laboratório da eficácia destes </w:t>
      </w:r>
      <w:r w:rsidR="00D355D7">
        <w:rPr>
          <w:rFonts w:ascii="Times New Roman" w:hAnsi="Times New Roman" w:cs="Times New Roman"/>
          <w:sz w:val="24"/>
          <w:szCs w:val="24"/>
        </w:rPr>
        <w:t xml:space="preserve">planos </w:t>
      </w:r>
      <w:r w:rsidR="00E90A80">
        <w:rPr>
          <w:rFonts w:ascii="Times New Roman" w:hAnsi="Times New Roman" w:cs="Times New Roman"/>
          <w:sz w:val="24"/>
          <w:szCs w:val="24"/>
        </w:rPr>
        <w:t>no combate a</w:t>
      </w:r>
      <w:r>
        <w:rPr>
          <w:rFonts w:ascii="Times New Roman" w:hAnsi="Times New Roman" w:cs="Times New Roman"/>
          <w:sz w:val="24"/>
          <w:szCs w:val="24"/>
        </w:rPr>
        <w:t xml:space="preserve"> esse fenômeno.</w:t>
      </w:r>
      <w:r w:rsidR="00B27C55">
        <w:rPr>
          <w:rFonts w:ascii="Times New Roman" w:hAnsi="Times New Roman" w:cs="Times New Roman"/>
          <w:sz w:val="24"/>
          <w:szCs w:val="24"/>
        </w:rPr>
        <w:t xml:space="preserve"> No Qua</w:t>
      </w:r>
      <w:r w:rsidR="00482388">
        <w:rPr>
          <w:rFonts w:ascii="Times New Roman" w:hAnsi="Times New Roman" w:cs="Times New Roman"/>
          <w:sz w:val="24"/>
          <w:szCs w:val="24"/>
        </w:rPr>
        <w:t>dro 1</w:t>
      </w:r>
      <w:r w:rsidR="00B27C55">
        <w:rPr>
          <w:rFonts w:ascii="Times New Roman" w:hAnsi="Times New Roman" w:cs="Times New Roman"/>
          <w:sz w:val="24"/>
          <w:szCs w:val="24"/>
        </w:rPr>
        <w:t xml:space="preserve"> são listados os principais planos econômicos de combate à inflação inst</w:t>
      </w:r>
      <w:r w:rsidR="007C0625">
        <w:rPr>
          <w:rFonts w:ascii="Times New Roman" w:hAnsi="Times New Roman" w:cs="Times New Roman"/>
          <w:sz w:val="24"/>
          <w:szCs w:val="24"/>
        </w:rPr>
        <w:t>ituídos pelo governo brasileiro.</w:t>
      </w:r>
    </w:p>
    <w:p w14:paraId="7843EFD0" w14:textId="67BE7B1F" w:rsidR="00C47CD0" w:rsidRDefault="003E3F7F" w:rsidP="0010012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Os d</w:t>
      </w:r>
      <w:r w:rsidR="00802150">
        <w:rPr>
          <w:rFonts w:ascii="Times New Roman" w:hAnsi="Times New Roman" w:cs="Times New Roman"/>
          <w:sz w:val="24"/>
          <w:szCs w:val="24"/>
        </w:rPr>
        <w:t>iversos</w:t>
      </w:r>
      <w:r w:rsidR="00C47CD0">
        <w:rPr>
          <w:rFonts w:ascii="Times New Roman" w:hAnsi="Times New Roman" w:cs="Times New Roman"/>
          <w:sz w:val="24"/>
          <w:szCs w:val="24"/>
        </w:rPr>
        <w:t xml:space="preserve"> planos </w:t>
      </w:r>
      <w:r w:rsidR="00802150">
        <w:rPr>
          <w:rFonts w:ascii="Times New Roman" w:hAnsi="Times New Roman" w:cs="Times New Roman"/>
          <w:sz w:val="24"/>
          <w:szCs w:val="24"/>
        </w:rPr>
        <w:t xml:space="preserve">econômicos </w:t>
      </w:r>
      <w:r>
        <w:rPr>
          <w:rFonts w:ascii="Times New Roman" w:hAnsi="Times New Roman" w:cs="Times New Roman"/>
          <w:sz w:val="24"/>
          <w:szCs w:val="24"/>
        </w:rPr>
        <w:t xml:space="preserve">adotados pelo Brasil no seu período inflacionário </w:t>
      </w:r>
      <w:r w:rsidR="00C47CD0">
        <w:rPr>
          <w:rFonts w:ascii="Times New Roman" w:hAnsi="Times New Roman" w:cs="Times New Roman"/>
          <w:sz w:val="24"/>
          <w:szCs w:val="24"/>
        </w:rPr>
        <w:t xml:space="preserve">se valeram de </w:t>
      </w:r>
      <w:r>
        <w:rPr>
          <w:rFonts w:ascii="Times New Roman" w:hAnsi="Times New Roman" w:cs="Times New Roman"/>
          <w:sz w:val="24"/>
          <w:szCs w:val="24"/>
        </w:rPr>
        <w:t xml:space="preserve">várias </w:t>
      </w:r>
      <w:r w:rsidR="00C47CD0">
        <w:rPr>
          <w:rFonts w:ascii="Times New Roman" w:hAnsi="Times New Roman" w:cs="Times New Roman"/>
          <w:sz w:val="24"/>
          <w:szCs w:val="24"/>
        </w:rPr>
        <w:t xml:space="preserve">ações para combater </w:t>
      </w:r>
      <w:r>
        <w:rPr>
          <w:rFonts w:ascii="Times New Roman" w:hAnsi="Times New Roman" w:cs="Times New Roman"/>
          <w:sz w:val="24"/>
          <w:szCs w:val="24"/>
        </w:rPr>
        <w:t>este fenômeno</w:t>
      </w:r>
      <w:r w:rsidR="00C47CD0">
        <w:rPr>
          <w:rFonts w:ascii="Times New Roman" w:hAnsi="Times New Roman" w:cs="Times New Roman"/>
          <w:sz w:val="24"/>
          <w:szCs w:val="24"/>
        </w:rPr>
        <w:t>, tais quais o congelamento de preços e salários, instituição de medidas de referência de valor para correção de preços, desvalorização cambial, ajustes fiscais, congelamento de depósitos bancários e criação de novas moedas.</w:t>
      </w:r>
    </w:p>
    <w:p w14:paraId="379C106E" w14:textId="77777777" w:rsidR="007C0625" w:rsidRPr="00B27C55" w:rsidRDefault="007C0625" w:rsidP="00FC4870">
      <w:pPr>
        <w:spacing w:after="0" w:line="240" w:lineRule="auto"/>
        <w:ind w:left="2282"/>
        <w:rPr>
          <w:rFonts w:ascii="Times New Roman" w:hAnsi="Times New Roman" w:cs="Times New Roman"/>
          <w:sz w:val="20"/>
          <w:szCs w:val="20"/>
        </w:rPr>
      </w:pPr>
      <w:r>
        <w:rPr>
          <w:rFonts w:ascii="Times New Roman" w:hAnsi="Times New Roman" w:cs="Times New Roman"/>
          <w:sz w:val="20"/>
          <w:szCs w:val="20"/>
        </w:rPr>
        <w:t>Quadro 1</w:t>
      </w:r>
      <w:r w:rsidRPr="00B27C55">
        <w:rPr>
          <w:rFonts w:ascii="Times New Roman" w:hAnsi="Times New Roman" w:cs="Times New Roman"/>
          <w:sz w:val="20"/>
          <w:szCs w:val="20"/>
        </w:rPr>
        <w:t xml:space="preserve"> – Planos econômicos de combate à inflação</w:t>
      </w:r>
    </w:p>
    <w:tbl>
      <w:tblPr>
        <w:tblStyle w:val="Tabelacomgrade"/>
        <w:tblW w:w="0" w:type="auto"/>
        <w:jc w:val="center"/>
        <w:tblLook w:val="04A0" w:firstRow="1" w:lastRow="0" w:firstColumn="1" w:lastColumn="0" w:noHBand="0" w:noVBand="1"/>
      </w:tblPr>
      <w:tblGrid>
        <w:gridCol w:w="3085"/>
        <w:gridCol w:w="1451"/>
      </w:tblGrid>
      <w:tr w:rsidR="007C0625" w:rsidRPr="00B27C55" w14:paraId="58F013E9" w14:textId="77777777" w:rsidTr="00C2461C">
        <w:trPr>
          <w:jc w:val="center"/>
        </w:trPr>
        <w:tc>
          <w:tcPr>
            <w:tcW w:w="3085" w:type="dxa"/>
          </w:tcPr>
          <w:p w14:paraId="792F0D12" w14:textId="77777777" w:rsidR="007C0625" w:rsidRPr="00B27C55" w:rsidRDefault="007C0625" w:rsidP="00C2461C">
            <w:pPr>
              <w:jc w:val="center"/>
              <w:rPr>
                <w:rFonts w:ascii="Times New Roman" w:hAnsi="Times New Roman" w:cs="Times New Roman"/>
                <w:b/>
                <w:sz w:val="20"/>
                <w:szCs w:val="20"/>
              </w:rPr>
            </w:pPr>
            <w:r w:rsidRPr="00B27C55">
              <w:rPr>
                <w:rFonts w:ascii="Times New Roman" w:hAnsi="Times New Roman" w:cs="Times New Roman"/>
                <w:b/>
                <w:sz w:val="20"/>
                <w:szCs w:val="20"/>
              </w:rPr>
              <w:t>PLANO</w:t>
            </w:r>
          </w:p>
        </w:tc>
        <w:tc>
          <w:tcPr>
            <w:tcW w:w="1451" w:type="dxa"/>
          </w:tcPr>
          <w:p w14:paraId="1D1565D3" w14:textId="77777777" w:rsidR="007C0625" w:rsidRPr="00B27C55" w:rsidRDefault="007C0625" w:rsidP="00C2461C">
            <w:pPr>
              <w:jc w:val="center"/>
              <w:rPr>
                <w:rFonts w:ascii="Times New Roman" w:hAnsi="Times New Roman" w:cs="Times New Roman"/>
                <w:b/>
                <w:sz w:val="20"/>
                <w:szCs w:val="20"/>
              </w:rPr>
            </w:pPr>
            <w:r w:rsidRPr="00B27C55">
              <w:rPr>
                <w:rFonts w:ascii="Times New Roman" w:hAnsi="Times New Roman" w:cs="Times New Roman"/>
                <w:b/>
                <w:sz w:val="20"/>
                <w:szCs w:val="20"/>
              </w:rPr>
              <w:t>ANO</w:t>
            </w:r>
          </w:p>
        </w:tc>
      </w:tr>
      <w:tr w:rsidR="007C0625" w:rsidRPr="00B27C55" w14:paraId="184840AB" w14:textId="77777777" w:rsidTr="00C2461C">
        <w:trPr>
          <w:jc w:val="center"/>
        </w:trPr>
        <w:tc>
          <w:tcPr>
            <w:tcW w:w="3085" w:type="dxa"/>
          </w:tcPr>
          <w:p w14:paraId="0D38BDB2"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Plano Cruzado</w:t>
            </w:r>
          </w:p>
        </w:tc>
        <w:tc>
          <w:tcPr>
            <w:tcW w:w="1451" w:type="dxa"/>
          </w:tcPr>
          <w:p w14:paraId="54D2064B"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1986</w:t>
            </w:r>
          </w:p>
        </w:tc>
      </w:tr>
      <w:tr w:rsidR="007C0625" w:rsidRPr="00B27C55" w14:paraId="7C1B4910" w14:textId="77777777" w:rsidTr="00C2461C">
        <w:trPr>
          <w:jc w:val="center"/>
        </w:trPr>
        <w:tc>
          <w:tcPr>
            <w:tcW w:w="3085" w:type="dxa"/>
          </w:tcPr>
          <w:p w14:paraId="26E5964C"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Plano Bresser</w:t>
            </w:r>
          </w:p>
        </w:tc>
        <w:tc>
          <w:tcPr>
            <w:tcW w:w="1451" w:type="dxa"/>
          </w:tcPr>
          <w:p w14:paraId="50C3A199"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1987</w:t>
            </w:r>
          </w:p>
        </w:tc>
      </w:tr>
      <w:tr w:rsidR="007C0625" w:rsidRPr="00B27C55" w14:paraId="51A95E48" w14:textId="77777777" w:rsidTr="00C2461C">
        <w:trPr>
          <w:jc w:val="center"/>
        </w:trPr>
        <w:tc>
          <w:tcPr>
            <w:tcW w:w="3085" w:type="dxa"/>
          </w:tcPr>
          <w:p w14:paraId="3DCEECE3"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Plano Verão</w:t>
            </w:r>
          </w:p>
        </w:tc>
        <w:tc>
          <w:tcPr>
            <w:tcW w:w="1451" w:type="dxa"/>
          </w:tcPr>
          <w:p w14:paraId="4662A6E4"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1989</w:t>
            </w:r>
          </w:p>
        </w:tc>
      </w:tr>
      <w:tr w:rsidR="007C0625" w:rsidRPr="00B27C55" w14:paraId="5D37005E" w14:textId="77777777" w:rsidTr="00C2461C">
        <w:trPr>
          <w:jc w:val="center"/>
        </w:trPr>
        <w:tc>
          <w:tcPr>
            <w:tcW w:w="3085" w:type="dxa"/>
          </w:tcPr>
          <w:p w14:paraId="6992C7BF"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Plano Collor</w:t>
            </w:r>
          </w:p>
        </w:tc>
        <w:tc>
          <w:tcPr>
            <w:tcW w:w="1451" w:type="dxa"/>
          </w:tcPr>
          <w:p w14:paraId="3F05D130"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1990</w:t>
            </w:r>
          </w:p>
        </w:tc>
      </w:tr>
      <w:tr w:rsidR="007C0625" w:rsidRPr="00B27C55" w14:paraId="74EE62E2" w14:textId="77777777" w:rsidTr="00C2461C">
        <w:trPr>
          <w:jc w:val="center"/>
        </w:trPr>
        <w:tc>
          <w:tcPr>
            <w:tcW w:w="3085" w:type="dxa"/>
          </w:tcPr>
          <w:p w14:paraId="2215FF80"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Plano Collor 2</w:t>
            </w:r>
          </w:p>
        </w:tc>
        <w:tc>
          <w:tcPr>
            <w:tcW w:w="1451" w:type="dxa"/>
          </w:tcPr>
          <w:p w14:paraId="40F793D0"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1991</w:t>
            </w:r>
          </w:p>
        </w:tc>
      </w:tr>
      <w:tr w:rsidR="007C0625" w:rsidRPr="00B27C55" w14:paraId="6D91E7CE" w14:textId="77777777" w:rsidTr="00C2461C">
        <w:trPr>
          <w:jc w:val="center"/>
        </w:trPr>
        <w:tc>
          <w:tcPr>
            <w:tcW w:w="3085" w:type="dxa"/>
          </w:tcPr>
          <w:p w14:paraId="78546D83"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Plano Real</w:t>
            </w:r>
          </w:p>
        </w:tc>
        <w:tc>
          <w:tcPr>
            <w:tcW w:w="1451" w:type="dxa"/>
          </w:tcPr>
          <w:p w14:paraId="59FA2CB4" w14:textId="77777777" w:rsidR="007C0625" w:rsidRPr="00B27C55" w:rsidRDefault="007C0625" w:rsidP="00C2461C">
            <w:pPr>
              <w:jc w:val="center"/>
              <w:rPr>
                <w:rFonts w:ascii="Times New Roman" w:hAnsi="Times New Roman" w:cs="Times New Roman"/>
                <w:sz w:val="20"/>
                <w:szCs w:val="20"/>
              </w:rPr>
            </w:pPr>
            <w:r w:rsidRPr="00B27C55">
              <w:rPr>
                <w:rFonts w:ascii="Times New Roman" w:hAnsi="Times New Roman" w:cs="Times New Roman"/>
                <w:sz w:val="20"/>
                <w:szCs w:val="20"/>
              </w:rPr>
              <w:t>1994</w:t>
            </w:r>
          </w:p>
        </w:tc>
      </w:tr>
    </w:tbl>
    <w:p w14:paraId="1176B1B1" w14:textId="77777777" w:rsidR="007C0625" w:rsidRPr="00B27C55" w:rsidRDefault="007C0625" w:rsidP="007C0625">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Fonte: Assaf Neto (2011, p. 32-33)</w:t>
      </w:r>
    </w:p>
    <w:p w14:paraId="55FCB29A" w14:textId="615403DC" w:rsidR="00E91B48" w:rsidRDefault="00E91B48" w:rsidP="0010012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A inflação de cada país é medida através de indicadores que acompanham a variação de preços de certo grupo de produtos (bens e serviços) seguindo determinada metodologia. A partir desta variação, é calculada a taxa de inflação, a taxa pelo qual o preço dos produtos aumenta em determinado período de tempo.</w:t>
      </w:r>
    </w:p>
    <w:p w14:paraId="41A1A696" w14:textId="44044679" w:rsidR="0012341C" w:rsidRDefault="0012341C" w:rsidP="0010012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Assaf Neto (2011) lista os principais índices de preço brasileiros, suas aplicações e um resumo de suas metodologias</w:t>
      </w:r>
      <w:r w:rsidR="00B27C55">
        <w:rPr>
          <w:rFonts w:ascii="Times New Roman" w:hAnsi="Times New Roman" w:cs="Times New Roman"/>
          <w:sz w:val="24"/>
          <w:szCs w:val="24"/>
        </w:rPr>
        <w:t>, send</w:t>
      </w:r>
      <w:r w:rsidR="00482388">
        <w:rPr>
          <w:rFonts w:ascii="Times New Roman" w:hAnsi="Times New Roman" w:cs="Times New Roman"/>
          <w:sz w:val="24"/>
          <w:szCs w:val="24"/>
        </w:rPr>
        <w:t>o estes sintetizados no Quadro 2</w:t>
      </w:r>
      <w:r>
        <w:rPr>
          <w:rFonts w:ascii="Times New Roman" w:hAnsi="Times New Roman" w:cs="Times New Roman"/>
          <w:sz w:val="24"/>
          <w:szCs w:val="24"/>
        </w:rPr>
        <w:t>:</w:t>
      </w:r>
    </w:p>
    <w:p w14:paraId="2A183B3E" w14:textId="2743D55C" w:rsidR="007C716F" w:rsidRPr="00B42BA0" w:rsidRDefault="007C716F" w:rsidP="00FC48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Quadro </w:t>
      </w:r>
      <w:r w:rsidR="00482388">
        <w:rPr>
          <w:rFonts w:ascii="Times New Roman" w:hAnsi="Times New Roman" w:cs="Times New Roman"/>
          <w:sz w:val="20"/>
          <w:szCs w:val="20"/>
        </w:rPr>
        <w:t>2</w:t>
      </w:r>
      <w:r>
        <w:rPr>
          <w:rFonts w:ascii="Times New Roman" w:hAnsi="Times New Roman" w:cs="Times New Roman"/>
          <w:sz w:val="20"/>
          <w:szCs w:val="20"/>
        </w:rPr>
        <w:t xml:space="preserve"> – Índices de Preços</w:t>
      </w:r>
    </w:p>
    <w:tbl>
      <w:tblPr>
        <w:tblStyle w:val="Tabelacomgrade"/>
        <w:tblW w:w="0" w:type="auto"/>
        <w:tblLook w:val="04A0" w:firstRow="1" w:lastRow="0" w:firstColumn="1" w:lastColumn="0" w:noHBand="0" w:noVBand="1"/>
      </w:tblPr>
      <w:tblGrid>
        <w:gridCol w:w="1494"/>
        <w:gridCol w:w="3468"/>
        <w:gridCol w:w="4099"/>
      </w:tblGrid>
      <w:tr w:rsidR="0012341C" w:rsidRPr="00B42BA0" w14:paraId="0695C9B0" w14:textId="060F71BA" w:rsidTr="00B42BA0">
        <w:tc>
          <w:tcPr>
            <w:tcW w:w="1242" w:type="dxa"/>
            <w:vAlign w:val="center"/>
          </w:tcPr>
          <w:p w14:paraId="4B4E33D5" w14:textId="7574E2B9" w:rsidR="0012341C" w:rsidRPr="00B42BA0" w:rsidRDefault="00B42BA0" w:rsidP="0010012C">
            <w:pPr>
              <w:jc w:val="center"/>
              <w:rPr>
                <w:rFonts w:ascii="Times New Roman" w:hAnsi="Times New Roman" w:cs="Times New Roman"/>
                <w:b/>
                <w:sz w:val="20"/>
                <w:szCs w:val="20"/>
              </w:rPr>
            </w:pPr>
            <w:r w:rsidRPr="00B42BA0">
              <w:rPr>
                <w:rFonts w:ascii="Times New Roman" w:hAnsi="Times New Roman" w:cs="Times New Roman"/>
                <w:b/>
                <w:sz w:val="20"/>
                <w:szCs w:val="20"/>
              </w:rPr>
              <w:t>ÍNDICE DE PREÇOS</w:t>
            </w:r>
          </w:p>
        </w:tc>
        <w:tc>
          <w:tcPr>
            <w:tcW w:w="3686" w:type="dxa"/>
            <w:vAlign w:val="center"/>
          </w:tcPr>
          <w:p w14:paraId="12273E82" w14:textId="5A7A1947" w:rsidR="0012341C" w:rsidRPr="00B42BA0" w:rsidRDefault="00B42BA0" w:rsidP="0010012C">
            <w:pPr>
              <w:jc w:val="center"/>
              <w:rPr>
                <w:rFonts w:ascii="Times New Roman" w:hAnsi="Times New Roman" w:cs="Times New Roman"/>
                <w:b/>
                <w:sz w:val="20"/>
                <w:szCs w:val="20"/>
              </w:rPr>
            </w:pPr>
            <w:r w:rsidRPr="00B42BA0">
              <w:rPr>
                <w:rFonts w:ascii="Times New Roman" w:hAnsi="Times New Roman" w:cs="Times New Roman"/>
                <w:b/>
                <w:sz w:val="20"/>
                <w:szCs w:val="20"/>
              </w:rPr>
              <w:t>PRINCIPAIS APLICAÇÕES</w:t>
            </w:r>
          </w:p>
        </w:tc>
        <w:tc>
          <w:tcPr>
            <w:tcW w:w="4359" w:type="dxa"/>
            <w:vAlign w:val="center"/>
          </w:tcPr>
          <w:p w14:paraId="198A951C" w14:textId="45D922D9" w:rsidR="0012341C" w:rsidRPr="00B42BA0" w:rsidRDefault="00B42BA0" w:rsidP="0010012C">
            <w:pPr>
              <w:jc w:val="center"/>
              <w:rPr>
                <w:rFonts w:ascii="Times New Roman" w:hAnsi="Times New Roman" w:cs="Times New Roman"/>
                <w:b/>
                <w:sz w:val="20"/>
                <w:szCs w:val="20"/>
              </w:rPr>
            </w:pPr>
            <w:r>
              <w:rPr>
                <w:rFonts w:ascii="Times New Roman" w:hAnsi="Times New Roman" w:cs="Times New Roman"/>
                <w:b/>
                <w:sz w:val="20"/>
                <w:szCs w:val="20"/>
              </w:rPr>
              <w:t>METODOLOGIA DE CÁLCULO</w:t>
            </w:r>
          </w:p>
        </w:tc>
      </w:tr>
      <w:tr w:rsidR="0012341C" w:rsidRPr="00B42BA0" w14:paraId="681A1BE3" w14:textId="748710E9" w:rsidTr="0012341C">
        <w:tc>
          <w:tcPr>
            <w:tcW w:w="1242" w:type="dxa"/>
          </w:tcPr>
          <w:p w14:paraId="3B670ADA" w14:textId="6B2B9C20" w:rsidR="0012341C" w:rsidRPr="00B42BA0" w:rsidRDefault="0012341C" w:rsidP="0010012C">
            <w:pPr>
              <w:jc w:val="both"/>
              <w:rPr>
                <w:rFonts w:ascii="Times New Roman" w:hAnsi="Times New Roman" w:cs="Times New Roman"/>
                <w:sz w:val="20"/>
                <w:szCs w:val="20"/>
              </w:rPr>
            </w:pPr>
            <w:r w:rsidRPr="00B42BA0">
              <w:rPr>
                <w:rFonts w:ascii="Times New Roman" w:hAnsi="Times New Roman" w:cs="Times New Roman"/>
                <w:sz w:val="20"/>
                <w:szCs w:val="20"/>
              </w:rPr>
              <w:t>IPCA</w:t>
            </w:r>
            <w:r w:rsidR="00B42BA0">
              <w:rPr>
                <w:rFonts w:ascii="Times New Roman" w:hAnsi="Times New Roman" w:cs="Times New Roman"/>
                <w:sz w:val="20"/>
                <w:szCs w:val="20"/>
              </w:rPr>
              <w:t xml:space="preserve"> – Índice de Preços ao Consumidor Amplo</w:t>
            </w:r>
          </w:p>
        </w:tc>
        <w:tc>
          <w:tcPr>
            <w:tcW w:w="3686" w:type="dxa"/>
          </w:tcPr>
          <w:p w14:paraId="7B182396" w14:textId="44E75AEF" w:rsidR="0012341C" w:rsidRPr="00B42BA0" w:rsidRDefault="0012341C" w:rsidP="0010012C">
            <w:pPr>
              <w:jc w:val="both"/>
              <w:rPr>
                <w:rFonts w:ascii="Times New Roman" w:hAnsi="Times New Roman" w:cs="Times New Roman"/>
                <w:sz w:val="20"/>
                <w:szCs w:val="20"/>
              </w:rPr>
            </w:pPr>
            <w:r w:rsidRPr="00B42BA0">
              <w:rPr>
                <w:rFonts w:ascii="Times New Roman" w:hAnsi="Times New Roman" w:cs="Times New Roman"/>
                <w:sz w:val="20"/>
                <w:szCs w:val="20"/>
              </w:rPr>
              <w:t>Mais relevante do ponto de vista de política econômica, sendo o índice de preços selecionado pelo Conselho Monetário Nacional como referência para o sistema de metas de inflação, implementado no Brasil em 1999.</w:t>
            </w:r>
          </w:p>
        </w:tc>
        <w:tc>
          <w:tcPr>
            <w:tcW w:w="4359" w:type="dxa"/>
          </w:tcPr>
          <w:p w14:paraId="7CA0AE41" w14:textId="3ACFDB46" w:rsidR="0012341C" w:rsidRPr="00B42BA0" w:rsidRDefault="00B42BA0" w:rsidP="0010012C">
            <w:pPr>
              <w:jc w:val="both"/>
              <w:rPr>
                <w:rFonts w:ascii="Times New Roman" w:hAnsi="Times New Roman" w:cs="Times New Roman"/>
                <w:sz w:val="20"/>
                <w:szCs w:val="20"/>
              </w:rPr>
            </w:pPr>
            <w:r>
              <w:rPr>
                <w:rFonts w:ascii="Times New Roman" w:hAnsi="Times New Roman" w:cs="Times New Roman"/>
                <w:sz w:val="20"/>
                <w:szCs w:val="20"/>
              </w:rPr>
              <w:t>Mede a variação de preços de um conjunto de produtos e serviços consumidos pelas famílias. Compara os preços verificados nos 30 dias do período de referência com os 30 dias do período-base. Considera em sua metodologia de cálculo famílias com rendimentos mensais de 1 a 40 salários-mínimos.</w:t>
            </w:r>
          </w:p>
        </w:tc>
      </w:tr>
      <w:tr w:rsidR="00B42BA0" w:rsidRPr="00B42BA0" w14:paraId="637A1912" w14:textId="3B49FE4E" w:rsidTr="0012341C">
        <w:tc>
          <w:tcPr>
            <w:tcW w:w="1242" w:type="dxa"/>
          </w:tcPr>
          <w:p w14:paraId="4CACD0F8" w14:textId="1FF80879" w:rsidR="00B42BA0" w:rsidRPr="00B42BA0" w:rsidRDefault="00B42BA0" w:rsidP="0010012C">
            <w:pPr>
              <w:jc w:val="both"/>
              <w:rPr>
                <w:rFonts w:ascii="Times New Roman" w:hAnsi="Times New Roman" w:cs="Times New Roman"/>
                <w:sz w:val="20"/>
                <w:szCs w:val="20"/>
              </w:rPr>
            </w:pPr>
            <w:r w:rsidRPr="00B42BA0">
              <w:rPr>
                <w:rFonts w:ascii="Times New Roman" w:hAnsi="Times New Roman" w:cs="Times New Roman"/>
                <w:sz w:val="20"/>
                <w:szCs w:val="20"/>
              </w:rPr>
              <w:t>INPC</w:t>
            </w:r>
            <w:r>
              <w:rPr>
                <w:rFonts w:ascii="Times New Roman" w:hAnsi="Times New Roman" w:cs="Times New Roman"/>
                <w:sz w:val="20"/>
                <w:szCs w:val="20"/>
              </w:rPr>
              <w:t xml:space="preserve"> – Índice Nacional de Preços ao Consumidor</w:t>
            </w:r>
          </w:p>
        </w:tc>
        <w:tc>
          <w:tcPr>
            <w:tcW w:w="3686" w:type="dxa"/>
          </w:tcPr>
          <w:p w14:paraId="1CD99D73" w14:textId="171BAFF4" w:rsidR="00B42BA0" w:rsidRPr="00B42BA0" w:rsidRDefault="00B42BA0" w:rsidP="0010012C">
            <w:pPr>
              <w:jc w:val="both"/>
              <w:rPr>
                <w:rFonts w:ascii="Times New Roman" w:hAnsi="Times New Roman" w:cs="Times New Roman"/>
                <w:sz w:val="20"/>
                <w:szCs w:val="20"/>
              </w:rPr>
            </w:pPr>
            <w:r w:rsidRPr="00B42BA0">
              <w:rPr>
                <w:rFonts w:ascii="Times New Roman" w:hAnsi="Times New Roman" w:cs="Times New Roman"/>
                <w:sz w:val="20"/>
                <w:szCs w:val="20"/>
              </w:rPr>
              <w:t>Mais utilizado em dissídios salariais, pois mede a variação de preços para quem está na faixa salarial de até 6 salários-mínimos</w:t>
            </w:r>
          </w:p>
        </w:tc>
        <w:tc>
          <w:tcPr>
            <w:tcW w:w="4359" w:type="dxa"/>
          </w:tcPr>
          <w:p w14:paraId="20ADD892" w14:textId="17BD47B2" w:rsidR="00B42BA0" w:rsidRPr="00B42BA0" w:rsidRDefault="00B42BA0" w:rsidP="0010012C">
            <w:pPr>
              <w:jc w:val="both"/>
              <w:rPr>
                <w:rFonts w:ascii="Times New Roman" w:hAnsi="Times New Roman" w:cs="Times New Roman"/>
                <w:sz w:val="20"/>
                <w:szCs w:val="20"/>
              </w:rPr>
            </w:pPr>
            <w:r>
              <w:rPr>
                <w:rFonts w:ascii="Times New Roman" w:hAnsi="Times New Roman" w:cs="Times New Roman"/>
                <w:sz w:val="20"/>
                <w:szCs w:val="20"/>
              </w:rPr>
              <w:t>Mede a variação de preços de um conjunto de produtos e serviços consumidos pelas famílias. Compara os preços verificados nos 30 dias do período de referência com os 30 dias do período-base. Considera em sua metodologia de cálculo famílias com rendimentos mensais de 1 a 8 salários-mínimos.</w:t>
            </w:r>
          </w:p>
        </w:tc>
      </w:tr>
      <w:tr w:rsidR="00B42BA0" w:rsidRPr="00B42BA0" w14:paraId="5FA615AE" w14:textId="485A1189" w:rsidTr="0012341C">
        <w:tc>
          <w:tcPr>
            <w:tcW w:w="1242" w:type="dxa"/>
          </w:tcPr>
          <w:p w14:paraId="5E20AEA4" w14:textId="010982E3" w:rsidR="00B42BA0" w:rsidRPr="00B42BA0" w:rsidRDefault="00B42BA0" w:rsidP="0010012C">
            <w:pPr>
              <w:jc w:val="both"/>
              <w:rPr>
                <w:rFonts w:ascii="Times New Roman" w:hAnsi="Times New Roman" w:cs="Times New Roman"/>
                <w:sz w:val="20"/>
                <w:szCs w:val="20"/>
              </w:rPr>
            </w:pPr>
            <w:r w:rsidRPr="00B42BA0">
              <w:rPr>
                <w:rFonts w:ascii="Times New Roman" w:hAnsi="Times New Roman" w:cs="Times New Roman"/>
                <w:sz w:val="20"/>
                <w:szCs w:val="20"/>
              </w:rPr>
              <w:t>IGP-DI</w:t>
            </w:r>
            <w:r>
              <w:rPr>
                <w:rFonts w:ascii="Times New Roman" w:hAnsi="Times New Roman" w:cs="Times New Roman"/>
                <w:sz w:val="20"/>
                <w:szCs w:val="20"/>
              </w:rPr>
              <w:t xml:space="preserve"> – Índice Geral de Preços – Disponibilidade Interna</w:t>
            </w:r>
          </w:p>
        </w:tc>
        <w:tc>
          <w:tcPr>
            <w:tcW w:w="3686" w:type="dxa"/>
          </w:tcPr>
          <w:p w14:paraId="26D8A105" w14:textId="4527FE23" w:rsidR="00B42BA0" w:rsidRPr="00B42BA0" w:rsidRDefault="00B42BA0" w:rsidP="0010012C">
            <w:pPr>
              <w:jc w:val="both"/>
              <w:rPr>
                <w:rFonts w:ascii="Times New Roman" w:hAnsi="Times New Roman" w:cs="Times New Roman"/>
                <w:sz w:val="20"/>
                <w:szCs w:val="20"/>
              </w:rPr>
            </w:pPr>
            <w:r w:rsidRPr="00B42BA0">
              <w:rPr>
                <w:rFonts w:ascii="Times New Roman" w:hAnsi="Times New Roman" w:cs="Times New Roman"/>
                <w:sz w:val="20"/>
                <w:szCs w:val="20"/>
              </w:rPr>
              <w:t>Bastante tradicional. Sua história remonta a 1944, e foi no passado a medida oficial de inflação do Brasil. Nos dias atuais, o índice é usado contratualmente para a correção de determinados preços administrados.</w:t>
            </w:r>
          </w:p>
        </w:tc>
        <w:tc>
          <w:tcPr>
            <w:tcW w:w="4359" w:type="dxa"/>
          </w:tcPr>
          <w:p w14:paraId="425F8CF6" w14:textId="2602663A" w:rsidR="00B42BA0" w:rsidRPr="00B42BA0" w:rsidRDefault="00B42BA0" w:rsidP="0010012C">
            <w:pPr>
              <w:jc w:val="both"/>
              <w:rPr>
                <w:rFonts w:ascii="Times New Roman" w:hAnsi="Times New Roman" w:cs="Times New Roman"/>
                <w:sz w:val="20"/>
                <w:szCs w:val="20"/>
              </w:rPr>
            </w:pPr>
            <w:r>
              <w:rPr>
                <w:rFonts w:ascii="Times New Roman" w:hAnsi="Times New Roman" w:cs="Times New Roman"/>
                <w:sz w:val="20"/>
                <w:szCs w:val="20"/>
              </w:rPr>
              <w:t>Publicado todo mês pela Fundação Getúlio Vargas (FGV), abrange as variações de preços verificadas entre o primeiro e o último dia do mês de referência.</w:t>
            </w:r>
          </w:p>
        </w:tc>
      </w:tr>
      <w:tr w:rsidR="00B42BA0" w:rsidRPr="00B42BA0" w14:paraId="57B6DA3F" w14:textId="66AF8B30" w:rsidTr="0012341C">
        <w:tc>
          <w:tcPr>
            <w:tcW w:w="1242" w:type="dxa"/>
          </w:tcPr>
          <w:p w14:paraId="019A9E63" w14:textId="02B7B300" w:rsidR="00B42BA0" w:rsidRPr="00B42BA0" w:rsidRDefault="00B42BA0" w:rsidP="0010012C">
            <w:pPr>
              <w:jc w:val="both"/>
              <w:rPr>
                <w:rFonts w:ascii="Times New Roman" w:hAnsi="Times New Roman" w:cs="Times New Roman"/>
                <w:sz w:val="20"/>
                <w:szCs w:val="20"/>
              </w:rPr>
            </w:pPr>
            <w:r w:rsidRPr="00B42BA0">
              <w:rPr>
                <w:rFonts w:ascii="Times New Roman" w:hAnsi="Times New Roman" w:cs="Times New Roman"/>
                <w:sz w:val="20"/>
                <w:szCs w:val="20"/>
              </w:rPr>
              <w:t>IGP-M</w:t>
            </w:r>
            <w:r>
              <w:rPr>
                <w:rFonts w:ascii="Times New Roman" w:hAnsi="Times New Roman" w:cs="Times New Roman"/>
                <w:sz w:val="20"/>
                <w:szCs w:val="20"/>
              </w:rPr>
              <w:t xml:space="preserve"> – Índice Geral de Preços - </w:t>
            </w:r>
            <w:r w:rsidR="007C716F">
              <w:rPr>
                <w:rFonts w:ascii="Times New Roman" w:hAnsi="Times New Roman" w:cs="Times New Roman"/>
                <w:sz w:val="20"/>
                <w:szCs w:val="20"/>
              </w:rPr>
              <w:t>Mercado</w:t>
            </w:r>
          </w:p>
        </w:tc>
        <w:tc>
          <w:tcPr>
            <w:tcW w:w="3686" w:type="dxa"/>
          </w:tcPr>
          <w:p w14:paraId="23BAFE34" w14:textId="2047FF49" w:rsidR="00B42BA0" w:rsidRPr="00B42BA0" w:rsidRDefault="00B42BA0" w:rsidP="0010012C">
            <w:pPr>
              <w:jc w:val="both"/>
              <w:rPr>
                <w:rFonts w:ascii="Times New Roman" w:hAnsi="Times New Roman" w:cs="Times New Roman"/>
                <w:sz w:val="20"/>
                <w:szCs w:val="20"/>
              </w:rPr>
            </w:pPr>
            <w:r w:rsidRPr="00B42BA0">
              <w:rPr>
                <w:rFonts w:ascii="Times New Roman" w:hAnsi="Times New Roman" w:cs="Times New Roman"/>
                <w:sz w:val="20"/>
                <w:szCs w:val="20"/>
              </w:rPr>
              <w:t xml:space="preserve">É o índice mais utilizado como indexador financeiro, principalmente para títulos de dívida pública federal. Também corrige preços administrados. Foi criado em 1989 pelo mercado financeiro com o intuito de ser um índice </w:t>
            </w:r>
            <w:r w:rsidRPr="00B42BA0">
              <w:rPr>
                <w:rFonts w:ascii="Times New Roman" w:hAnsi="Times New Roman" w:cs="Times New Roman"/>
                <w:sz w:val="20"/>
                <w:szCs w:val="20"/>
              </w:rPr>
              <w:lastRenderedPageBreak/>
              <w:t>mais independente e livre da interferência governamental.</w:t>
            </w:r>
          </w:p>
        </w:tc>
        <w:tc>
          <w:tcPr>
            <w:tcW w:w="4359" w:type="dxa"/>
          </w:tcPr>
          <w:p w14:paraId="777B97C3" w14:textId="6565DDC3" w:rsidR="00B42BA0" w:rsidRPr="00B42BA0" w:rsidRDefault="00B42BA0" w:rsidP="0010012C">
            <w:pPr>
              <w:jc w:val="both"/>
              <w:rPr>
                <w:rFonts w:ascii="Times New Roman" w:hAnsi="Times New Roman" w:cs="Times New Roman"/>
                <w:sz w:val="20"/>
                <w:szCs w:val="20"/>
              </w:rPr>
            </w:pPr>
            <w:r>
              <w:rPr>
                <w:rFonts w:ascii="Times New Roman" w:hAnsi="Times New Roman" w:cs="Times New Roman"/>
                <w:sz w:val="20"/>
                <w:szCs w:val="20"/>
              </w:rPr>
              <w:lastRenderedPageBreak/>
              <w:t>Publicado todo mês pela Fundação Getúlio Vargas (FGV), abrange as variações de preços verificadas entre o dia 21 do mês anterior ao de referência e o dia 20 do mês de referência.</w:t>
            </w:r>
          </w:p>
        </w:tc>
      </w:tr>
      <w:tr w:rsidR="00B42BA0" w:rsidRPr="00B42BA0" w14:paraId="79E50AEC" w14:textId="5B7A002F" w:rsidTr="0012341C">
        <w:tc>
          <w:tcPr>
            <w:tcW w:w="1242" w:type="dxa"/>
          </w:tcPr>
          <w:p w14:paraId="1CDF8190" w14:textId="39DE8EC7" w:rsidR="00B42BA0" w:rsidRPr="00B42BA0" w:rsidRDefault="00B42BA0" w:rsidP="0010012C">
            <w:pPr>
              <w:jc w:val="both"/>
              <w:rPr>
                <w:rFonts w:ascii="Times New Roman" w:hAnsi="Times New Roman" w:cs="Times New Roman"/>
                <w:sz w:val="20"/>
                <w:szCs w:val="20"/>
              </w:rPr>
            </w:pPr>
            <w:r w:rsidRPr="00B42BA0">
              <w:rPr>
                <w:rFonts w:ascii="Times New Roman" w:hAnsi="Times New Roman" w:cs="Times New Roman"/>
                <w:sz w:val="20"/>
                <w:szCs w:val="20"/>
              </w:rPr>
              <w:lastRenderedPageBreak/>
              <w:t>IPC-FIPE</w:t>
            </w:r>
            <w:r w:rsidR="007C716F">
              <w:rPr>
                <w:rFonts w:ascii="Times New Roman" w:hAnsi="Times New Roman" w:cs="Times New Roman"/>
                <w:sz w:val="20"/>
                <w:szCs w:val="20"/>
              </w:rPr>
              <w:t xml:space="preserve"> – Índice de Preços ao Consumidor</w:t>
            </w:r>
          </w:p>
        </w:tc>
        <w:tc>
          <w:tcPr>
            <w:tcW w:w="3686" w:type="dxa"/>
          </w:tcPr>
          <w:p w14:paraId="457A24DD" w14:textId="00FDC90A" w:rsidR="00B42BA0" w:rsidRPr="00B42BA0" w:rsidRDefault="00B42BA0" w:rsidP="0010012C">
            <w:pPr>
              <w:jc w:val="both"/>
              <w:rPr>
                <w:rFonts w:ascii="Times New Roman" w:hAnsi="Times New Roman" w:cs="Times New Roman"/>
                <w:sz w:val="20"/>
                <w:szCs w:val="20"/>
              </w:rPr>
            </w:pPr>
            <w:r w:rsidRPr="00B42BA0">
              <w:rPr>
                <w:rFonts w:ascii="Times New Roman" w:hAnsi="Times New Roman" w:cs="Times New Roman"/>
                <w:sz w:val="20"/>
                <w:szCs w:val="20"/>
              </w:rPr>
              <w:t>Apesar de restrito ao município de São Paulo, tem peculiaridades metodológicas e de divulgação que reforçam a sua importância.</w:t>
            </w:r>
          </w:p>
        </w:tc>
        <w:tc>
          <w:tcPr>
            <w:tcW w:w="4359" w:type="dxa"/>
          </w:tcPr>
          <w:p w14:paraId="7265FE16" w14:textId="21EF1D06" w:rsidR="00B42BA0" w:rsidRPr="00B42BA0" w:rsidRDefault="00B42BA0" w:rsidP="0010012C">
            <w:pPr>
              <w:jc w:val="both"/>
              <w:rPr>
                <w:rFonts w:ascii="Times New Roman" w:hAnsi="Times New Roman" w:cs="Times New Roman"/>
                <w:sz w:val="20"/>
                <w:szCs w:val="20"/>
              </w:rPr>
            </w:pPr>
            <w:r>
              <w:rPr>
                <w:rFonts w:ascii="Times New Roman" w:hAnsi="Times New Roman" w:cs="Times New Roman"/>
                <w:sz w:val="20"/>
                <w:szCs w:val="20"/>
              </w:rPr>
              <w:t>Reflete a variação média de preços de um conjunto de bens e serviços no mercado de varejo. É publicado pela Fundação Getúlio Vargas (FGV) e também pela FIPE (Fundação Instituto de Pesquisas Econômicas/USP).</w:t>
            </w:r>
          </w:p>
        </w:tc>
      </w:tr>
    </w:tbl>
    <w:p w14:paraId="59F44891" w14:textId="1BE07FE4" w:rsidR="0012341C" w:rsidRPr="00B42BA0" w:rsidRDefault="0012341C" w:rsidP="0010012C">
      <w:pPr>
        <w:spacing w:line="240" w:lineRule="auto"/>
        <w:jc w:val="both"/>
        <w:rPr>
          <w:rFonts w:ascii="Times New Roman" w:hAnsi="Times New Roman" w:cs="Times New Roman"/>
          <w:sz w:val="20"/>
          <w:szCs w:val="20"/>
        </w:rPr>
      </w:pPr>
      <w:r w:rsidRPr="00B42BA0">
        <w:rPr>
          <w:rFonts w:ascii="Times New Roman" w:hAnsi="Times New Roman" w:cs="Times New Roman"/>
          <w:sz w:val="20"/>
          <w:szCs w:val="20"/>
        </w:rPr>
        <w:t>Fonte: Adaptado de Assaf Neto (2011</w:t>
      </w:r>
      <w:r w:rsidR="00B27C55">
        <w:rPr>
          <w:rFonts w:ascii="Times New Roman" w:hAnsi="Times New Roman" w:cs="Times New Roman"/>
          <w:sz w:val="20"/>
          <w:szCs w:val="20"/>
        </w:rPr>
        <w:t>, p. 30-31</w:t>
      </w:r>
      <w:r w:rsidRPr="00B42BA0">
        <w:rPr>
          <w:rFonts w:ascii="Times New Roman" w:hAnsi="Times New Roman" w:cs="Times New Roman"/>
          <w:sz w:val="20"/>
          <w:szCs w:val="20"/>
        </w:rPr>
        <w:t>)</w:t>
      </w:r>
    </w:p>
    <w:p w14:paraId="07817BBB" w14:textId="6C8A0BB8" w:rsidR="00F87E2A" w:rsidRPr="00C362DB" w:rsidRDefault="00F87E2A" w:rsidP="0010012C">
      <w:pPr>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Ao afirmar</w:t>
      </w:r>
      <w:r w:rsidR="00345E6A">
        <w:rPr>
          <w:rFonts w:ascii="Times New Roman" w:hAnsi="Times New Roman" w:cs="Times New Roman"/>
          <w:sz w:val="24"/>
          <w:szCs w:val="24"/>
        </w:rPr>
        <w:t xml:space="preserve"> que a inflação automaticamente</w:t>
      </w:r>
      <w:r w:rsidRPr="00C362DB">
        <w:rPr>
          <w:rFonts w:ascii="Times New Roman" w:hAnsi="Times New Roman" w:cs="Times New Roman"/>
          <w:sz w:val="24"/>
          <w:szCs w:val="24"/>
        </w:rPr>
        <w:tab/>
        <w:t>aumenta a dívida dos bancos, Hortlund (2005) explica essa relação argumentando que em períodos inflacionários, há uma expansão monetária e parte do dinheiro decorrente desta expansão é depositado nos bancos. Ao emprestar mais</w:t>
      </w:r>
      <w:r w:rsidR="00345E6A">
        <w:rPr>
          <w:rFonts w:ascii="Times New Roman" w:hAnsi="Times New Roman" w:cs="Times New Roman"/>
          <w:sz w:val="24"/>
          <w:szCs w:val="24"/>
        </w:rPr>
        <w:t>,</w:t>
      </w:r>
      <w:r w:rsidRPr="00C362DB">
        <w:rPr>
          <w:rFonts w:ascii="Times New Roman" w:hAnsi="Times New Roman" w:cs="Times New Roman"/>
          <w:sz w:val="24"/>
          <w:szCs w:val="24"/>
        </w:rPr>
        <w:t xml:space="preserve"> os bancos passam a receber um lucro maior nas suas operações, sendo que</w:t>
      </w:r>
      <w:r w:rsidR="00345E6A">
        <w:rPr>
          <w:rFonts w:ascii="Times New Roman" w:hAnsi="Times New Roman" w:cs="Times New Roman"/>
          <w:sz w:val="24"/>
          <w:szCs w:val="24"/>
        </w:rPr>
        <w:t>,</w:t>
      </w:r>
      <w:r w:rsidRPr="00C362DB">
        <w:rPr>
          <w:rFonts w:ascii="Times New Roman" w:hAnsi="Times New Roman" w:cs="Times New Roman"/>
          <w:sz w:val="24"/>
          <w:szCs w:val="24"/>
        </w:rPr>
        <w:t xml:space="preserve"> em decorrência do aumento da sua dívida, para cumprir acordos regulamentares</w:t>
      </w:r>
      <w:r w:rsidR="00345E6A">
        <w:rPr>
          <w:rFonts w:ascii="Times New Roman" w:hAnsi="Times New Roman" w:cs="Times New Roman"/>
          <w:sz w:val="24"/>
          <w:szCs w:val="24"/>
        </w:rPr>
        <w:t>,</w:t>
      </w:r>
      <w:r w:rsidRPr="00C362DB">
        <w:rPr>
          <w:rFonts w:ascii="Times New Roman" w:hAnsi="Times New Roman" w:cs="Times New Roman"/>
          <w:sz w:val="24"/>
          <w:szCs w:val="24"/>
        </w:rPr>
        <w:t xml:space="preserve"> este deve manter sua razão de endividamento constante.</w:t>
      </w:r>
    </w:p>
    <w:p w14:paraId="0D747CCB" w14:textId="77777777" w:rsidR="00F87E2A" w:rsidRPr="00C362DB" w:rsidRDefault="00F87E2A" w:rsidP="0010012C">
      <w:pPr>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Desta maneira, o banco deve destinar o lucro das suas operações para capitalizar-se. Porém, os impostos sobre o lucro diminuem o valor dos lucros os quais os bancos podem reter no seu capital. Este fenômeno faz com que os bancos venham a falhar em manter sua razão de endividamento constante por meio da retenção de lucros. Teoricamente, ao reportar lucros, os bancos devem também fazer a distribuição de dividendos para seus acionistas, ação esta que descapitaliza ainda mais estas instituições (HORTLUND, 2005).</w:t>
      </w:r>
    </w:p>
    <w:p w14:paraId="15BA02C2" w14:textId="15AA9CF0" w:rsidR="00E37AAD" w:rsidRPr="00C362DB" w:rsidRDefault="00514782" w:rsidP="0010012C">
      <w:pPr>
        <w:spacing w:after="120" w:line="240" w:lineRule="auto"/>
        <w:jc w:val="both"/>
        <w:rPr>
          <w:rFonts w:ascii="Times New Roman" w:hAnsi="Times New Roman" w:cs="Times New Roman"/>
          <w:b/>
          <w:sz w:val="24"/>
          <w:szCs w:val="24"/>
        </w:rPr>
      </w:pPr>
      <w:r w:rsidRPr="00C362DB">
        <w:rPr>
          <w:rFonts w:ascii="Times New Roman" w:hAnsi="Times New Roman" w:cs="Times New Roman"/>
          <w:b/>
          <w:sz w:val="24"/>
          <w:szCs w:val="24"/>
        </w:rPr>
        <w:t>2.3 ESTUDOS ANTERIORES</w:t>
      </w:r>
    </w:p>
    <w:p w14:paraId="3D061771" w14:textId="327670A7" w:rsidR="00DD3344" w:rsidRDefault="00DD3344" w:rsidP="0010012C">
      <w:pPr>
        <w:spacing w:after="120" w:line="240" w:lineRule="auto"/>
        <w:ind w:firstLine="567"/>
        <w:jc w:val="both"/>
        <w:rPr>
          <w:rFonts w:ascii="Times New Roman" w:hAnsi="Times New Roman" w:cs="Times New Roman"/>
          <w:sz w:val="24"/>
          <w:szCs w:val="24"/>
        </w:rPr>
      </w:pPr>
      <w:r w:rsidRPr="00C362DB">
        <w:rPr>
          <w:rFonts w:ascii="Times New Roman" w:hAnsi="Times New Roman" w:cs="Times New Roman"/>
          <w:sz w:val="24"/>
          <w:szCs w:val="24"/>
        </w:rPr>
        <w:t xml:space="preserve">Hortlund (2005) investigou se a inflação e os altos impostos explicariam o aumento da alavancagem dos bancos suecos no período de 1870 a 2001. O autor defende que a inflação influenciaria numa maior alavancagem visto que a mesma remete a um aumento das dívidas das instituições. Os resultados apontaram que, em relação </w:t>
      </w:r>
      <w:r w:rsidR="00B54111" w:rsidRPr="00C362DB">
        <w:rPr>
          <w:rFonts w:ascii="Times New Roman" w:hAnsi="Times New Roman" w:cs="Times New Roman"/>
          <w:sz w:val="24"/>
          <w:szCs w:val="24"/>
        </w:rPr>
        <w:t>à</w:t>
      </w:r>
      <w:r w:rsidRPr="00C362DB">
        <w:rPr>
          <w:rFonts w:ascii="Times New Roman" w:hAnsi="Times New Roman" w:cs="Times New Roman"/>
          <w:sz w:val="24"/>
          <w:szCs w:val="24"/>
        </w:rPr>
        <w:t xml:space="preserve"> inflaç</w:t>
      </w:r>
      <w:r w:rsidR="00F92A4A" w:rsidRPr="00C362DB">
        <w:rPr>
          <w:rFonts w:ascii="Times New Roman" w:hAnsi="Times New Roman" w:cs="Times New Roman"/>
          <w:sz w:val="24"/>
          <w:szCs w:val="24"/>
        </w:rPr>
        <w:t>ão, há aumento da alavancagem a um</w:t>
      </w:r>
      <w:r w:rsidRPr="00C362DB">
        <w:rPr>
          <w:rFonts w:ascii="Times New Roman" w:hAnsi="Times New Roman" w:cs="Times New Roman"/>
          <w:sz w:val="24"/>
          <w:szCs w:val="24"/>
        </w:rPr>
        <w:t xml:space="preserve"> alto nível de inflação, conforme defendido pelo autor ao longo do texto.</w:t>
      </w:r>
    </w:p>
    <w:p w14:paraId="51C34251" w14:textId="77777777" w:rsidR="00B54111" w:rsidRDefault="0019376B" w:rsidP="00B54111">
      <w:pPr>
        <w:spacing w:after="12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Schaeck</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Cihák</w:t>
      </w:r>
      <w:proofErr w:type="spellEnd"/>
      <w:r>
        <w:rPr>
          <w:rFonts w:ascii="Times New Roman" w:hAnsi="Times New Roman" w:cs="Times New Roman"/>
          <w:sz w:val="24"/>
          <w:szCs w:val="24"/>
        </w:rPr>
        <w:t xml:space="preserve"> (2012) buscaram verificar </w:t>
      </w:r>
      <w:r w:rsidR="008007E8">
        <w:rPr>
          <w:rFonts w:ascii="Times New Roman" w:hAnsi="Times New Roman" w:cs="Times New Roman"/>
          <w:sz w:val="24"/>
          <w:szCs w:val="24"/>
        </w:rPr>
        <w:t>se a competição aumenta o nível de capitalização das instituições financeiras</w:t>
      </w:r>
      <w:r>
        <w:rPr>
          <w:rFonts w:ascii="Times New Roman" w:hAnsi="Times New Roman" w:cs="Times New Roman"/>
          <w:sz w:val="24"/>
          <w:szCs w:val="24"/>
        </w:rPr>
        <w:t>. Analisando 2.600 bancos em 10 países da Europa, os resultados encontrados pelos autores apontaram uma associação negativa entre variáveis macroeconômicas e a capitalização das instituições, tais variáveis são o crescimento do PIB, inflação e taxa de juros.</w:t>
      </w:r>
      <w:r w:rsidR="008007E8">
        <w:rPr>
          <w:rFonts w:ascii="Times New Roman" w:hAnsi="Times New Roman" w:cs="Times New Roman"/>
          <w:sz w:val="24"/>
          <w:szCs w:val="24"/>
        </w:rPr>
        <w:t xml:space="preserve"> O resultado para o índice de inflação está em convergência com a hipótese prevista por </w:t>
      </w:r>
      <w:r w:rsidR="008007E8" w:rsidRPr="00C362DB">
        <w:rPr>
          <w:rFonts w:ascii="Times New Roman" w:hAnsi="Times New Roman" w:cs="Times New Roman"/>
          <w:sz w:val="24"/>
          <w:szCs w:val="24"/>
        </w:rPr>
        <w:t>Hortlund (2005)</w:t>
      </w:r>
      <w:r w:rsidR="008007E8">
        <w:rPr>
          <w:rFonts w:ascii="Times New Roman" w:hAnsi="Times New Roman" w:cs="Times New Roman"/>
          <w:sz w:val="24"/>
          <w:szCs w:val="24"/>
        </w:rPr>
        <w:t>.</w:t>
      </w:r>
      <w:r w:rsidR="00B54111" w:rsidRPr="00B54111">
        <w:rPr>
          <w:rFonts w:ascii="Times New Roman" w:hAnsi="Times New Roman" w:cs="Times New Roman"/>
          <w:sz w:val="24"/>
          <w:szCs w:val="24"/>
        </w:rPr>
        <w:t xml:space="preserve"> </w:t>
      </w:r>
    </w:p>
    <w:p w14:paraId="2C82FFCC" w14:textId="4AD3FD8F" w:rsidR="00B54111" w:rsidRDefault="00B54111" w:rsidP="00B54111">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Tratando da realidade brasileira, </w:t>
      </w:r>
      <w:proofErr w:type="spellStart"/>
      <w:r>
        <w:rPr>
          <w:rFonts w:ascii="Times New Roman" w:hAnsi="Times New Roman" w:cs="Times New Roman"/>
          <w:sz w:val="24"/>
          <w:szCs w:val="24"/>
        </w:rPr>
        <w:t>Yanaka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Holland</w:t>
      </w:r>
      <w:proofErr w:type="spellEnd"/>
      <w:r>
        <w:rPr>
          <w:rFonts w:ascii="Times New Roman" w:hAnsi="Times New Roman" w:cs="Times New Roman"/>
          <w:sz w:val="24"/>
          <w:szCs w:val="24"/>
        </w:rPr>
        <w:t xml:space="preserve"> (2010) analisaram a diferença entre o capital mínimo exigido e do índice de Basiléia com a regulamentação bancária da época. Realizou-se uma análise nas 9 (nove) maiores instituições financeiras do Consolidado Bancário I (bancos comerciais), onde verificou-se que os bancos que optaram pelo índice de Basiléia (e pelo </w:t>
      </w:r>
      <w:proofErr w:type="spellStart"/>
      <w:r>
        <w:rPr>
          <w:rFonts w:ascii="Times New Roman" w:hAnsi="Times New Roman" w:cs="Times New Roman"/>
          <w:i/>
          <w:sz w:val="24"/>
          <w:szCs w:val="24"/>
        </w:rPr>
        <w:t>Internal</w:t>
      </w:r>
      <w:proofErr w:type="spellEnd"/>
      <w:r>
        <w:rPr>
          <w:rFonts w:ascii="Times New Roman" w:hAnsi="Times New Roman" w:cs="Times New Roman"/>
          <w:i/>
          <w:sz w:val="24"/>
          <w:szCs w:val="24"/>
        </w:rPr>
        <w:t xml:space="preserve"> Ratings </w:t>
      </w:r>
      <w:proofErr w:type="spellStart"/>
      <w:r>
        <w:rPr>
          <w:rFonts w:ascii="Times New Roman" w:hAnsi="Times New Roman" w:cs="Times New Roman"/>
          <w:i/>
          <w:sz w:val="24"/>
          <w:szCs w:val="24"/>
        </w:rPr>
        <w:t>Based</w:t>
      </w:r>
      <w:proofErr w:type="spellEnd"/>
      <w:r>
        <w:rPr>
          <w:rFonts w:ascii="Times New Roman" w:hAnsi="Times New Roman" w:cs="Times New Roman"/>
          <w:sz w:val="24"/>
          <w:szCs w:val="24"/>
        </w:rPr>
        <w:t>) tiveram aumento de 13% do capital mínimo exigido.</w:t>
      </w:r>
    </w:p>
    <w:p w14:paraId="20BEE4F8" w14:textId="3DC82294" w:rsidR="008007E8" w:rsidRPr="00C362DB" w:rsidRDefault="008007E8" w:rsidP="008007E8">
      <w:pPr>
        <w:spacing w:after="120" w:line="240" w:lineRule="auto"/>
        <w:ind w:firstLine="567"/>
        <w:jc w:val="both"/>
        <w:rPr>
          <w:rFonts w:ascii="Times New Roman" w:hAnsi="Times New Roman" w:cs="Times New Roman"/>
          <w:sz w:val="24"/>
          <w:szCs w:val="24"/>
        </w:rPr>
      </w:pPr>
    </w:p>
    <w:p w14:paraId="394F5ED2" w14:textId="0B4DFF65" w:rsidR="00B63A46" w:rsidRPr="00C362DB" w:rsidRDefault="00514782" w:rsidP="0010012C">
      <w:pPr>
        <w:spacing w:after="120" w:line="240" w:lineRule="auto"/>
        <w:jc w:val="both"/>
        <w:rPr>
          <w:rFonts w:ascii="Times New Roman" w:hAnsi="Times New Roman" w:cs="Times New Roman"/>
          <w:b/>
          <w:sz w:val="24"/>
          <w:szCs w:val="24"/>
        </w:rPr>
      </w:pPr>
      <w:r w:rsidRPr="00C362DB">
        <w:rPr>
          <w:rFonts w:ascii="Times New Roman" w:hAnsi="Times New Roman" w:cs="Times New Roman"/>
          <w:b/>
          <w:sz w:val="24"/>
          <w:szCs w:val="24"/>
        </w:rPr>
        <w:t>3 PROCEDIMENTOS METODOLÓGICOS</w:t>
      </w:r>
    </w:p>
    <w:p w14:paraId="34F563D3" w14:textId="4E085E81" w:rsidR="00B63A46" w:rsidRPr="00C362DB" w:rsidRDefault="00514782" w:rsidP="0010012C">
      <w:pPr>
        <w:spacing w:after="120" w:line="240" w:lineRule="auto"/>
        <w:jc w:val="both"/>
        <w:rPr>
          <w:rFonts w:ascii="Times New Roman" w:hAnsi="Times New Roman" w:cs="Times New Roman"/>
          <w:b/>
          <w:sz w:val="24"/>
          <w:szCs w:val="24"/>
        </w:rPr>
      </w:pPr>
      <w:bookmarkStart w:id="0" w:name="_Toc177717270"/>
      <w:r w:rsidRPr="00C362DB">
        <w:rPr>
          <w:rFonts w:ascii="Times New Roman" w:hAnsi="Times New Roman" w:cs="Times New Roman"/>
          <w:b/>
          <w:sz w:val="24"/>
          <w:szCs w:val="24"/>
        </w:rPr>
        <w:t>3.1 T</w:t>
      </w:r>
      <w:bookmarkEnd w:id="0"/>
      <w:r w:rsidRPr="00C362DB">
        <w:rPr>
          <w:rFonts w:ascii="Times New Roman" w:hAnsi="Times New Roman" w:cs="Times New Roman"/>
          <w:b/>
          <w:sz w:val="24"/>
          <w:szCs w:val="24"/>
        </w:rPr>
        <w:t xml:space="preserve">IPO E MÉTODO DE PESQUISA </w:t>
      </w:r>
    </w:p>
    <w:p w14:paraId="45035EB5" w14:textId="2D049AF0" w:rsidR="00B63A46" w:rsidRPr="00C362DB" w:rsidRDefault="00B210C8" w:rsidP="0010012C">
      <w:pPr>
        <w:autoSpaceDE w:val="0"/>
        <w:autoSpaceDN w:val="0"/>
        <w:adjustRightInd w:val="0"/>
        <w:spacing w:after="120" w:line="240" w:lineRule="auto"/>
        <w:ind w:firstLine="567"/>
        <w:jc w:val="both"/>
        <w:rPr>
          <w:rFonts w:ascii="Times New Roman" w:hAnsi="Times New Roman" w:cs="Times New Roman"/>
          <w:sz w:val="24"/>
          <w:szCs w:val="24"/>
          <w:lang w:eastAsia="pt-BR"/>
        </w:rPr>
      </w:pPr>
      <w:r w:rsidRPr="00C362DB">
        <w:rPr>
          <w:rFonts w:ascii="Times New Roman" w:hAnsi="Times New Roman" w:cs="Times New Roman"/>
          <w:sz w:val="24"/>
          <w:szCs w:val="24"/>
        </w:rPr>
        <w:t xml:space="preserve">Esta pesquisa utiliza a tipologia elaborada por </w:t>
      </w:r>
      <w:proofErr w:type="spellStart"/>
      <w:r w:rsidRPr="00C362DB">
        <w:rPr>
          <w:rFonts w:ascii="Times New Roman" w:hAnsi="Times New Roman" w:cs="Times New Roman"/>
          <w:sz w:val="24"/>
          <w:szCs w:val="24"/>
        </w:rPr>
        <w:t>Beuren</w:t>
      </w:r>
      <w:proofErr w:type="spellEnd"/>
      <w:r w:rsidRPr="00C362DB">
        <w:rPr>
          <w:rFonts w:ascii="Times New Roman" w:hAnsi="Times New Roman" w:cs="Times New Roman"/>
          <w:sz w:val="24"/>
          <w:szCs w:val="24"/>
        </w:rPr>
        <w:t xml:space="preserve"> (2006), que classifica a pesquisa quanto aos objetivos, aos procedimentos e à abordagem de pesquisa. </w:t>
      </w:r>
      <w:r w:rsidR="00B63A46" w:rsidRPr="00C362DB">
        <w:rPr>
          <w:rFonts w:ascii="Times New Roman" w:hAnsi="Times New Roman" w:cs="Times New Roman"/>
          <w:sz w:val="24"/>
          <w:szCs w:val="24"/>
        </w:rPr>
        <w:t>Quanto aos objetivos, est</w:t>
      </w:r>
      <w:r w:rsidRPr="00C362DB">
        <w:rPr>
          <w:rFonts w:ascii="Times New Roman" w:hAnsi="Times New Roman" w:cs="Times New Roman"/>
          <w:sz w:val="24"/>
          <w:szCs w:val="24"/>
        </w:rPr>
        <w:t>e</w:t>
      </w:r>
      <w:r w:rsidR="00B63A46" w:rsidRPr="00C362DB">
        <w:rPr>
          <w:rFonts w:ascii="Times New Roman" w:hAnsi="Times New Roman" w:cs="Times New Roman"/>
          <w:sz w:val="24"/>
          <w:szCs w:val="24"/>
        </w:rPr>
        <w:t xml:space="preserve"> </w:t>
      </w:r>
      <w:r w:rsidRPr="00C362DB">
        <w:rPr>
          <w:rFonts w:ascii="Times New Roman" w:hAnsi="Times New Roman" w:cs="Times New Roman"/>
          <w:sz w:val="24"/>
          <w:szCs w:val="24"/>
        </w:rPr>
        <w:t>estudo pode ser classificado como descritivo</w:t>
      </w:r>
      <w:r w:rsidR="00A82769" w:rsidRPr="00C362DB">
        <w:rPr>
          <w:rFonts w:ascii="Times New Roman" w:hAnsi="Times New Roman" w:cs="Times New Roman"/>
          <w:sz w:val="24"/>
          <w:szCs w:val="24"/>
        </w:rPr>
        <w:t>,</w:t>
      </w:r>
      <w:r w:rsidR="00B63A46" w:rsidRPr="00C362DB">
        <w:rPr>
          <w:rFonts w:ascii="Times New Roman" w:hAnsi="Times New Roman" w:cs="Times New Roman"/>
          <w:sz w:val="24"/>
          <w:szCs w:val="24"/>
        </w:rPr>
        <w:t xml:space="preserve"> pois o estudo busca </w:t>
      </w:r>
      <w:r w:rsidR="00B63A46" w:rsidRPr="00C362DB">
        <w:rPr>
          <w:rFonts w:ascii="Times New Roman" w:hAnsi="Times New Roman" w:cs="Times New Roman"/>
          <w:sz w:val="24"/>
          <w:szCs w:val="24"/>
          <w:lang w:eastAsia="pt-BR"/>
        </w:rPr>
        <w:t>“[...] observar, registrar, analisar e correlacionar fatos e fenômenos (variáveis) sem manipulá-</w:t>
      </w:r>
      <w:proofErr w:type="gramStart"/>
      <w:r w:rsidR="00B63A46" w:rsidRPr="00C362DB">
        <w:rPr>
          <w:rFonts w:ascii="Times New Roman" w:hAnsi="Times New Roman" w:cs="Times New Roman"/>
          <w:sz w:val="24"/>
          <w:szCs w:val="24"/>
          <w:lang w:eastAsia="pt-BR"/>
        </w:rPr>
        <w:t>los.”</w:t>
      </w:r>
      <w:proofErr w:type="gramEnd"/>
      <w:r w:rsidR="00B63A46" w:rsidRPr="00C362DB">
        <w:rPr>
          <w:rFonts w:ascii="Times New Roman" w:hAnsi="Times New Roman" w:cs="Times New Roman"/>
          <w:sz w:val="24"/>
          <w:szCs w:val="24"/>
          <w:lang w:eastAsia="pt-BR"/>
        </w:rPr>
        <w:t xml:space="preserve"> (CERVO; BERVIAN, 2002, p.66).</w:t>
      </w:r>
    </w:p>
    <w:p w14:paraId="2D55236A" w14:textId="3F63B7C6" w:rsidR="00B63A46" w:rsidRPr="00C362DB" w:rsidRDefault="00B210C8" w:rsidP="0010012C">
      <w:pPr>
        <w:autoSpaceDE w:val="0"/>
        <w:autoSpaceDN w:val="0"/>
        <w:adjustRightInd w:val="0"/>
        <w:spacing w:after="120" w:line="240" w:lineRule="auto"/>
        <w:ind w:firstLine="567"/>
        <w:jc w:val="both"/>
        <w:rPr>
          <w:rFonts w:ascii="Times New Roman" w:hAnsi="Times New Roman" w:cs="Times New Roman"/>
          <w:sz w:val="24"/>
          <w:szCs w:val="24"/>
          <w:lang w:eastAsia="pt-BR"/>
        </w:rPr>
      </w:pPr>
      <w:r w:rsidRPr="00C362DB">
        <w:rPr>
          <w:rFonts w:ascii="Times New Roman" w:hAnsi="Times New Roman" w:cs="Times New Roman"/>
          <w:sz w:val="24"/>
          <w:szCs w:val="24"/>
          <w:lang w:eastAsia="pt-BR"/>
        </w:rPr>
        <w:lastRenderedPageBreak/>
        <w:t xml:space="preserve">Quanto aos procedimentos é classificada como </w:t>
      </w:r>
      <w:r w:rsidR="00B63A46" w:rsidRPr="00C362DB">
        <w:rPr>
          <w:rFonts w:ascii="Times New Roman" w:hAnsi="Times New Roman" w:cs="Times New Roman"/>
          <w:sz w:val="24"/>
          <w:szCs w:val="24"/>
          <w:lang w:eastAsia="pt-BR"/>
        </w:rPr>
        <w:t>uma pesquisa bibliográfica, a qual segundo Gil (2008) é desenvolvida a partir de material já elaborado, principalmente livros e artigos científicos.</w:t>
      </w:r>
      <w:r w:rsidRPr="00C362DB">
        <w:rPr>
          <w:rFonts w:ascii="Times New Roman" w:hAnsi="Times New Roman" w:cs="Times New Roman"/>
          <w:sz w:val="24"/>
          <w:szCs w:val="24"/>
          <w:lang w:eastAsia="pt-BR"/>
        </w:rPr>
        <w:t xml:space="preserve"> </w:t>
      </w:r>
    </w:p>
    <w:p w14:paraId="363C754C" w14:textId="6CFFC39F" w:rsidR="00B63A46" w:rsidRPr="00C362DB" w:rsidRDefault="00B63A46" w:rsidP="0010012C">
      <w:pPr>
        <w:autoSpaceDE w:val="0"/>
        <w:autoSpaceDN w:val="0"/>
        <w:adjustRightInd w:val="0"/>
        <w:spacing w:after="120" w:line="240" w:lineRule="auto"/>
        <w:ind w:firstLine="567"/>
        <w:jc w:val="both"/>
        <w:rPr>
          <w:rFonts w:ascii="Times New Roman" w:hAnsi="Times New Roman" w:cs="Times New Roman"/>
          <w:sz w:val="24"/>
          <w:szCs w:val="24"/>
          <w:lang w:eastAsia="pt-BR"/>
        </w:rPr>
      </w:pPr>
      <w:r w:rsidRPr="00C362DB">
        <w:rPr>
          <w:rFonts w:ascii="Times New Roman" w:hAnsi="Times New Roman" w:cs="Times New Roman"/>
          <w:sz w:val="24"/>
          <w:szCs w:val="24"/>
          <w:lang w:eastAsia="pt-BR"/>
        </w:rPr>
        <w:t xml:space="preserve">Por fim, </w:t>
      </w:r>
      <w:r w:rsidR="00B210C8" w:rsidRPr="00C362DB">
        <w:rPr>
          <w:rFonts w:ascii="Times New Roman" w:hAnsi="Times New Roman" w:cs="Times New Roman"/>
          <w:sz w:val="24"/>
          <w:szCs w:val="24"/>
          <w:lang w:eastAsia="pt-BR"/>
        </w:rPr>
        <w:t xml:space="preserve">quanto à abordagem de pesquisa, </w:t>
      </w:r>
      <w:r w:rsidRPr="00C362DB">
        <w:rPr>
          <w:rFonts w:ascii="Times New Roman" w:hAnsi="Times New Roman" w:cs="Times New Roman"/>
          <w:sz w:val="24"/>
          <w:szCs w:val="24"/>
          <w:lang w:eastAsia="pt-BR"/>
        </w:rPr>
        <w:t xml:space="preserve">o estudo também é classificado como uma pesquisa quantitativa, pois utiliza-se de modelos econométricos para alcançar os objetivos propostos </w:t>
      </w:r>
      <w:r w:rsidR="00A82769" w:rsidRPr="00C362DB">
        <w:rPr>
          <w:rFonts w:ascii="Times New Roman" w:hAnsi="Times New Roman" w:cs="Times New Roman"/>
          <w:sz w:val="24"/>
          <w:szCs w:val="24"/>
          <w:lang w:eastAsia="pt-BR"/>
        </w:rPr>
        <w:t>pelo presente</w:t>
      </w:r>
      <w:r w:rsidRPr="00C362DB">
        <w:rPr>
          <w:rFonts w:ascii="Times New Roman" w:hAnsi="Times New Roman" w:cs="Times New Roman"/>
          <w:sz w:val="24"/>
          <w:szCs w:val="24"/>
          <w:lang w:eastAsia="pt-BR"/>
        </w:rPr>
        <w:t xml:space="preserve"> estudo.</w:t>
      </w:r>
    </w:p>
    <w:p w14:paraId="256E7523" w14:textId="4922D7AF" w:rsidR="006D00F8" w:rsidRDefault="00514782" w:rsidP="0010012C">
      <w:pPr>
        <w:autoSpaceDE w:val="0"/>
        <w:autoSpaceDN w:val="0"/>
        <w:adjustRightInd w:val="0"/>
        <w:spacing w:line="240" w:lineRule="auto"/>
        <w:jc w:val="both"/>
        <w:rPr>
          <w:rFonts w:ascii="Times New Roman" w:hAnsi="Times New Roman" w:cs="Times New Roman"/>
          <w:b/>
          <w:sz w:val="24"/>
          <w:szCs w:val="24"/>
        </w:rPr>
      </w:pPr>
      <w:bookmarkStart w:id="1" w:name="_Toc177717271"/>
      <w:r w:rsidRPr="001B7925">
        <w:rPr>
          <w:rFonts w:ascii="Times New Roman" w:hAnsi="Times New Roman" w:cs="Times New Roman"/>
          <w:b/>
          <w:sz w:val="24"/>
          <w:szCs w:val="24"/>
        </w:rPr>
        <w:t>3.2</w:t>
      </w:r>
      <w:r>
        <w:rPr>
          <w:rFonts w:ascii="Times New Roman" w:hAnsi="Times New Roman" w:cs="Times New Roman"/>
          <w:b/>
          <w:sz w:val="24"/>
          <w:szCs w:val="24"/>
        </w:rPr>
        <w:t xml:space="preserve"> SELEÇÃO E C</w:t>
      </w:r>
      <w:r w:rsidRPr="001B7925">
        <w:rPr>
          <w:rFonts w:ascii="Times New Roman" w:hAnsi="Times New Roman" w:cs="Times New Roman"/>
          <w:b/>
          <w:sz w:val="24"/>
          <w:szCs w:val="24"/>
        </w:rPr>
        <w:t>OMPOSIÇÃO DA</w:t>
      </w:r>
      <w:bookmarkEnd w:id="1"/>
      <w:r w:rsidRPr="001B7925">
        <w:rPr>
          <w:rFonts w:ascii="Times New Roman" w:hAnsi="Times New Roman" w:cs="Times New Roman"/>
          <w:b/>
          <w:sz w:val="24"/>
          <w:szCs w:val="24"/>
        </w:rPr>
        <w:t xml:space="preserve"> </w:t>
      </w:r>
      <w:r>
        <w:rPr>
          <w:rFonts w:ascii="Times New Roman" w:hAnsi="Times New Roman" w:cs="Times New Roman"/>
          <w:b/>
          <w:sz w:val="24"/>
          <w:szCs w:val="24"/>
        </w:rPr>
        <w:t>A</w:t>
      </w:r>
      <w:r w:rsidRPr="001B7925">
        <w:rPr>
          <w:rFonts w:ascii="Times New Roman" w:hAnsi="Times New Roman" w:cs="Times New Roman"/>
          <w:b/>
          <w:sz w:val="24"/>
          <w:szCs w:val="24"/>
        </w:rPr>
        <w:t>MOSTRA</w:t>
      </w:r>
    </w:p>
    <w:p w14:paraId="5AD5B477" w14:textId="7A376DCE" w:rsidR="006D00F8" w:rsidRDefault="006D00F8" w:rsidP="00A5130E">
      <w:pPr>
        <w:pStyle w:val="Default"/>
        <w:ind w:firstLine="567"/>
        <w:jc w:val="both"/>
        <w:rPr>
          <w:rFonts w:ascii="Times New Roman" w:hAnsi="Times New Roman" w:cs="Times New Roman"/>
        </w:rPr>
      </w:pPr>
      <w:r w:rsidRPr="004D4441">
        <w:rPr>
          <w:rFonts w:ascii="Times New Roman" w:hAnsi="Times New Roman" w:cs="Times New Roman"/>
        </w:rPr>
        <w:t xml:space="preserve">A população deste estudo </w:t>
      </w:r>
      <w:r>
        <w:rPr>
          <w:rFonts w:ascii="Times New Roman" w:hAnsi="Times New Roman" w:cs="Times New Roman"/>
        </w:rPr>
        <w:t>é</w:t>
      </w:r>
      <w:r w:rsidRPr="004D4441">
        <w:rPr>
          <w:rFonts w:ascii="Times New Roman" w:hAnsi="Times New Roman" w:cs="Times New Roman"/>
        </w:rPr>
        <w:t xml:space="preserve"> formada pelas </w:t>
      </w:r>
      <w:r>
        <w:rPr>
          <w:rFonts w:ascii="Times New Roman" w:hAnsi="Times New Roman" w:cs="Times New Roman"/>
        </w:rPr>
        <w:t>instituições financeiras</w:t>
      </w:r>
      <w:r w:rsidRPr="004D4441">
        <w:rPr>
          <w:rFonts w:ascii="Times New Roman" w:hAnsi="Times New Roman" w:cs="Times New Roman"/>
        </w:rPr>
        <w:t xml:space="preserve"> abertas e fechada</w:t>
      </w:r>
      <w:r>
        <w:rPr>
          <w:rFonts w:ascii="Times New Roman" w:hAnsi="Times New Roman" w:cs="Times New Roman"/>
        </w:rPr>
        <w:t xml:space="preserve">s brasileiras no período de 1996 </w:t>
      </w:r>
      <w:r w:rsidRPr="004D4441">
        <w:rPr>
          <w:rFonts w:ascii="Times New Roman" w:hAnsi="Times New Roman" w:cs="Times New Roman"/>
        </w:rPr>
        <w:t>a 2013</w:t>
      </w:r>
      <w:r>
        <w:rPr>
          <w:rFonts w:ascii="Times New Roman" w:hAnsi="Times New Roman" w:cs="Times New Roman"/>
        </w:rPr>
        <w:t>, onde a</w:t>
      </w:r>
      <w:r w:rsidRPr="004D4441">
        <w:rPr>
          <w:rFonts w:ascii="Times New Roman" w:hAnsi="Times New Roman" w:cs="Times New Roman"/>
        </w:rPr>
        <w:t xml:space="preserve">s informações necessárias para a realização da pesquisa </w:t>
      </w:r>
      <w:r>
        <w:rPr>
          <w:rFonts w:ascii="Times New Roman" w:hAnsi="Times New Roman" w:cs="Times New Roman"/>
        </w:rPr>
        <w:t>foram</w:t>
      </w:r>
      <w:r w:rsidRPr="004D4441">
        <w:rPr>
          <w:rFonts w:ascii="Times New Roman" w:hAnsi="Times New Roman" w:cs="Times New Roman"/>
        </w:rPr>
        <w:t xml:space="preserve"> coletadas no banco de dados do </w:t>
      </w:r>
      <w:r>
        <w:rPr>
          <w:rFonts w:ascii="Times New Roman" w:hAnsi="Times New Roman" w:cs="Times New Roman"/>
        </w:rPr>
        <w:t>Banco Central do Brasil (</w:t>
      </w:r>
      <w:r w:rsidRPr="00A5130E">
        <w:rPr>
          <w:rFonts w:ascii="Times New Roman" w:hAnsi="Times New Roman" w:cs="Times New Roman"/>
        </w:rPr>
        <w:t>www.bcb.gov.br</w:t>
      </w:r>
      <w:r>
        <w:rPr>
          <w:rFonts w:ascii="Times New Roman" w:hAnsi="Times New Roman" w:cs="Times New Roman"/>
        </w:rPr>
        <w:t>)</w:t>
      </w:r>
      <w:r w:rsidR="00A5130E">
        <w:rPr>
          <w:rFonts w:ascii="Times New Roman" w:hAnsi="Times New Roman" w:cs="Times New Roman"/>
        </w:rPr>
        <w:t xml:space="preserve"> e</w:t>
      </w:r>
      <w:r>
        <w:rPr>
          <w:rFonts w:ascii="Times New Roman" w:hAnsi="Times New Roman" w:cs="Times New Roman"/>
        </w:rPr>
        <w:t xml:space="preserve"> </w:t>
      </w:r>
      <w:r w:rsidR="00A5130E">
        <w:rPr>
          <w:rFonts w:ascii="Times New Roman" w:hAnsi="Times New Roman" w:cs="Times New Roman"/>
        </w:rPr>
        <w:t xml:space="preserve">Instituto Brasileiro de Geografia e Estatística – IBGE (www.ibge.gov.br), </w:t>
      </w:r>
      <w:r>
        <w:rPr>
          <w:rFonts w:ascii="Times New Roman" w:hAnsi="Times New Roman" w:cs="Times New Roman"/>
        </w:rPr>
        <w:t>conforme tabela 1 abaixo</w:t>
      </w:r>
      <w:r w:rsidR="00A5130E">
        <w:rPr>
          <w:rFonts w:ascii="Times New Roman" w:hAnsi="Times New Roman" w:cs="Times New Roman"/>
        </w:rPr>
        <w:t xml:space="preserve">: </w:t>
      </w:r>
    </w:p>
    <w:p w14:paraId="5379189D" w14:textId="53388B6D" w:rsidR="006D00F8" w:rsidRPr="0012297A" w:rsidRDefault="006D00F8" w:rsidP="00FC4870">
      <w:pPr>
        <w:autoSpaceDE w:val="0"/>
        <w:autoSpaceDN w:val="0"/>
        <w:adjustRightInd w:val="0"/>
        <w:spacing w:before="240" w:after="0" w:line="240" w:lineRule="auto"/>
        <w:ind w:left="1701"/>
        <w:rPr>
          <w:rFonts w:ascii="Times New Roman" w:hAnsi="Times New Roman" w:cs="Times New Roman"/>
          <w:b/>
          <w:sz w:val="20"/>
          <w:szCs w:val="24"/>
        </w:rPr>
      </w:pPr>
      <w:r>
        <w:rPr>
          <w:rFonts w:ascii="Times New Roman" w:hAnsi="Times New Roman" w:cs="Times New Roman"/>
          <w:b/>
          <w:sz w:val="20"/>
          <w:szCs w:val="24"/>
        </w:rPr>
        <w:t>Tabela 1 – Número</w:t>
      </w:r>
      <w:r w:rsidRPr="0012297A">
        <w:rPr>
          <w:rFonts w:ascii="Times New Roman" w:hAnsi="Times New Roman" w:cs="Times New Roman"/>
          <w:b/>
          <w:sz w:val="20"/>
          <w:szCs w:val="24"/>
        </w:rPr>
        <w:t xml:space="preserve"> de instituições analisadas</w:t>
      </w:r>
    </w:p>
    <w:tbl>
      <w:tblPr>
        <w:tblStyle w:val="Tabelacomgrade"/>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34"/>
        <w:gridCol w:w="2268"/>
        <w:gridCol w:w="2268"/>
      </w:tblGrid>
      <w:tr w:rsidR="006D00F8" w:rsidRPr="00B86865" w14:paraId="1255D9F6" w14:textId="77777777" w:rsidTr="006D00F8">
        <w:trPr>
          <w:jc w:val="center"/>
        </w:trPr>
        <w:tc>
          <w:tcPr>
            <w:tcW w:w="1134" w:type="dxa"/>
            <w:vMerge w:val="restart"/>
            <w:vAlign w:val="center"/>
          </w:tcPr>
          <w:p w14:paraId="67B221A4" w14:textId="77777777" w:rsidR="006D00F8" w:rsidRPr="00B86865" w:rsidRDefault="006D00F8" w:rsidP="0010012C">
            <w:pPr>
              <w:jc w:val="center"/>
              <w:rPr>
                <w:rFonts w:ascii="Times New Roman" w:hAnsi="Times New Roman" w:cs="Times New Roman"/>
                <w:b/>
                <w:sz w:val="20"/>
                <w:szCs w:val="20"/>
              </w:rPr>
            </w:pPr>
            <w:r w:rsidRPr="00B86865">
              <w:rPr>
                <w:rFonts w:ascii="Times New Roman" w:hAnsi="Times New Roman" w:cs="Times New Roman"/>
                <w:b/>
                <w:sz w:val="20"/>
                <w:szCs w:val="20"/>
              </w:rPr>
              <w:t>ANO</w:t>
            </w:r>
          </w:p>
        </w:tc>
        <w:tc>
          <w:tcPr>
            <w:tcW w:w="4536" w:type="dxa"/>
            <w:gridSpan w:val="2"/>
            <w:vAlign w:val="center"/>
          </w:tcPr>
          <w:p w14:paraId="37C16BEB" w14:textId="77777777" w:rsidR="006D00F8" w:rsidRPr="00B86865" w:rsidRDefault="006D00F8" w:rsidP="0010012C">
            <w:pPr>
              <w:jc w:val="center"/>
              <w:rPr>
                <w:rFonts w:ascii="Times New Roman" w:hAnsi="Times New Roman" w:cs="Times New Roman"/>
                <w:b/>
                <w:sz w:val="20"/>
                <w:szCs w:val="20"/>
              </w:rPr>
            </w:pPr>
            <w:r w:rsidRPr="00B86865">
              <w:rPr>
                <w:rFonts w:ascii="Times New Roman" w:hAnsi="Times New Roman" w:cs="Times New Roman"/>
                <w:b/>
                <w:sz w:val="20"/>
                <w:szCs w:val="20"/>
              </w:rPr>
              <w:t>Instituições Financeiras Analisadas</w:t>
            </w:r>
          </w:p>
        </w:tc>
      </w:tr>
      <w:tr w:rsidR="006D00F8" w:rsidRPr="00B86865" w14:paraId="2D495F30" w14:textId="77777777" w:rsidTr="006D00F8">
        <w:trPr>
          <w:jc w:val="center"/>
        </w:trPr>
        <w:tc>
          <w:tcPr>
            <w:tcW w:w="1134" w:type="dxa"/>
            <w:vMerge/>
            <w:tcBorders>
              <w:bottom w:val="single" w:sz="4" w:space="0" w:color="auto"/>
            </w:tcBorders>
            <w:vAlign w:val="center"/>
          </w:tcPr>
          <w:p w14:paraId="02975FB4" w14:textId="77777777" w:rsidR="006D00F8" w:rsidRPr="00B86865" w:rsidRDefault="006D00F8" w:rsidP="0010012C">
            <w:pPr>
              <w:jc w:val="center"/>
              <w:rPr>
                <w:rFonts w:ascii="Times New Roman" w:hAnsi="Times New Roman" w:cs="Times New Roman"/>
                <w:b/>
                <w:sz w:val="20"/>
                <w:szCs w:val="20"/>
              </w:rPr>
            </w:pPr>
          </w:p>
        </w:tc>
        <w:tc>
          <w:tcPr>
            <w:tcW w:w="2268" w:type="dxa"/>
            <w:tcBorders>
              <w:bottom w:val="single" w:sz="4" w:space="0" w:color="auto"/>
            </w:tcBorders>
            <w:vAlign w:val="center"/>
          </w:tcPr>
          <w:p w14:paraId="043F2BC0" w14:textId="77777777" w:rsidR="006D00F8" w:rsidRPr="00B86865" w:rsidRDefault="006D00F8" w:rsidP="0010012C">
            <w:pPr>
              <w:jc w:val="center"/>
              <w:rPr>
                <w:rFonts w:ascii="Times New Roman" w:hAnsi="Times New Roman" w:cs="Times New Roman"/>
                <w:b/>
                <w:sz w:val="20"/>
                <w:szCs w:val="20"/>
              </w:rPr>
            </w:pPr>
            <w:proofErr w:type="gramStart"/>
            <w:r w:rsidRPr="00B86865">
              <w:rPr>
                <w:rFonts w:ascii="Times New Roman" w:hAnsi="Times New Roman" w:cs="Times New Roman"/>
                <w:b/>
                <w:sz w:val="20"/>
                <w:szCs w:val="20"/>
              </w:rPr>
              <w:t>Painel Balanceado</w:t>
            </w:r>
            <w:proofErr w:type="gramEnd"/>
          </w:p>
        </w:tc>
        <w:tc>
          <w:tcPr>
            <w:tcW w:w="2268" w:type="dxa"/>
            <w:tcBorders>
              <w:bottom w:val="single" w:sz="4" w:space="0" w:color="auto"/>
            </w:tcBorders>
            <w:vAlign w:val="center"/>
          </w:tcPr>
          <w:p w14:paraId="067E1070" w14:textId="77777777" w:rsidR="006D00F8" w:rsidRPr="00B86865" w:rsidRDefault="006D00F8" w:rsidP="0010012C">
            <w:pPr>
              <w:jc w:val="center"/>
              <w:rPr>
                <w:rFonts w:ascii="Times New Roman" w:hAnsi="Times New Roman" w:cs="Times New Roman"/>
                <w:b/>
                <w:sz w:val="20"/>
                <w:szCs w:val="20"/>
              </w:rPr>
            </w:pPr>
            <w:r w:rsidRPr="00B86865">
              <w:rPr>
                <w:rFonts w:ascii="Times New Roman" w:hAnsi="Times New Roman" w:cs="Times New Roman"/>
                <w:b/>
                <w:sz w:val="20"/>
                <w:szCs w:val="20"/>
              </w:rPr>
              <w:t>Painel Desbalanceado</w:t>
            </w:r>
          </w:p>
        </w:tc>
      </w:tr>
      <w:tr w:rsidR="00422AAB" w:rsidRPr="00B86865" w14:paraId="61A084C5" w14:textId="77777777" w:rsidTr="006D00F8">
        <w:trPr>
          <w:jc w:val="center"/>
        </w:trPr>
        <w:tc>
          <w:tcPr>
            <w:tcW w:w="1134" w:type="dxa"/>
            <w:tcBorders>
              <w:bottom w:val="nil"/>
            </w:tcBorders>
          </w:tcPr>
          <w:p w14:paraId="72D57C18"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2013</w:t>
            </w:r>
          </w:p>
        </w:tc>
        <w:tc>
          <w:tcPr>
            <w:tcW w:w="2268" w:type="dxa"/>
            <w:tcBorders>
              <w:bottom w:val="nil"/>
            </w:tcBorders>
          </w:tcPr>
          <w:p w14:paraId="03069EDB" w14:textId="26012458" w:rsidR="00422AAB" w:rsidRPr="007D6227" w:rsidRDefault="00422AAB" w:rsidP="0010012C">
            <w:pPr>
              <w:jc w:val="center"/>
              <w:rPr>
                <w:rFonts w:ascii="Times New Roman" w:hAnsi="Times New Roman" w:cs="Times New Roman"/>
                <w:sz w:val="20"/>
                <w:szCs w:val="20"/>
              </w:rPr>
            </w:pPr>
            <w:r w:rsidRPr="00C35D59">
              <w:rPr>
                <w:rFonts w:ascii="Times New Roman" w:hAnsi="Times New Roman" w:cs="Times New Roman"/>
                <w:sz w:val="20"/>
                <w:szCs w:val="20"/>
              </w:rPr>
              <w:t>87</w:t>
            </w:r>
          </w:p>
        </w:tc>
        <w:tc>
          <w:tcPr>
            <w:tcW w:w="2268" w:type="dxa"/>
            <w:tcBorders>
              <w:bottom w:val="nil"/>
            </w:tcBorders>
          </w:tcPr>
          <w:p w14:paraId="3008EE08"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148</w:t>
            </w:r>
          </w:p>
        </w:tc>
      </w:tr>
      <w:tr w:rsidR="00422AAB" w:rsidRPr="00B86865" w14:paraId="2FD4CAD8" w14:textId="77777777" w:rsidTr="006D00F8">
        <w:trPr>
          <w:jc w:val="center"/>
        </w:trPr>
        <w:tc>
          <w:tcPr>
            <w:tcW w:w="1134" w:type="dxa"/>
            <w:tcBorders>
              <w:top w:val="nil"/>
              <w:bottom w:val="nil"/>
            </w:tcBorders>
          </w:tcPr>
          <w:p w14:paraId="66125E91"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2012</w:t>
            </w:r>
          </w:p>
        </w:tc>
        <w:tc>
          <w:tcPr>
            <w:tcW w:w="2268" w:type="dxa"/>
            <w:tcBorders>
              <w:top w:val="nil"/>
              <w:bottom w:val="nil"/>
            </w:tcBorders>
          </w:tcPr>
          <w:p w14:paraId="69C2DB2E" w14:textId="5959B7ED"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735F733C"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158</w:t>
            </w:r>
          </w:p>
        </w:tc>
      </w:tr>
      <w:tr w:rsidR="00422AAB" w:rsidRPr="00B86865" w14:paraId="709A12AE" w14:textId="77777777" w:rsidTr="006D00F8">
        <w:trPr>
          <w:jc w:val="center"/>
        </w:trPr>
        <w:tc>
          <w:tcPr>
            <w:tcW w:w="1134" w:type="dxa"/>
            <w:tcBorders>
              <w:top w:val="nil"/>
              <w:bottom w:val="nil"/>
            </w:tcBorders>
          </w:tcPr>
          <w:p w14:paraId="117698AA"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2011</w:t>
            </w:r>
          </w:p>
        </w:tc>
        <w:tc>
          <w:tcPr>
            <w:tcW w:w="2268" w:type="dxa"/>
            <w:tcBorders>
              <w:top w:val="nil"/>
              <w:bottom w:val="nil"/>
            </w:tcBorders>
          </w:tcPr>
          <w:p w14:paraId="0DCB5D38" w14:textId="15EE42EE"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4DC3EE4E"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156</w:t>
            </w:r>
          </w:p>
        </w:tc>
      </w:tr>
      <w:tr w:rsidR="00422AAB" w:rsidRPr="00B86865" w14:paraId="2BB6C478" w14:textId="77777777" w:rsidTr="006D00F8">
        <w:trPr>
          <w:jc w:val="center"/>
        </w:trPr>
        <w:tc>
          <w:tcPr>
            <w:tcW w:w="1134" w:type="dxa"/>
            <w:tcBorders>
              <w:top w:val="nil"/>
              <w:bottom w:val="nil"/>
            </w:tcBorders>
          </w:tcPr>
          <w:p w14:paraId="61CB9013"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2010</w:t>
            </w:r>
          </w:p>
        </w:tc>
        <w:tc>
          <w:tcPr>
            <w:tcW w:w="2268" w:type="dxa"/>
            <w:tcBorders>
              <w:top w:val="nil"/>
              <w:bottom w:val="nil"/>
            </w:tcBorders>
          </w:tcPr>
          <w:p w14:paraId="59631446" w14:textId="0A6CF50C"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490DA66F"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155</w:t>
            </w:r>
          </w:p>
        </w:tc>
      </w:tr>
      <w:tr w:rsidR="00422AAB" w:rsidRPr="00B86865" w14:paraId="2E6650F2" w14:textId="77777777" w:rsidTr="006D00F8">
        <w:trPr>
          <w:jc w:val="center"/>
        </w:trPr>
        <w:tc>
          <w:tcPr>
            <w:tcW w:w="1134" w:type="dxa"/>
            <w:tcBorders>
              <w:top w:val="nil"/>
              <w:bottom w:val="nil"/>
            </w:tcBorders>
          </w:tcPr>
          <w:p w14:paraId="1D9C08C3"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2009</w:t>
            </w:r>
          </w:p>
        </w:tc>
        <w:tc>
          <w:tcPr>
            <w:tcW w:w="2268" w:type="dxa"/>
            <w:tcBorders>
              <w:top w:val="nil"/>
              <w:bottom w:val="nil"/>
            </w:tcBorders>
          </w:tcPr>
          <w:p w14:paraId="0608DA2A" w14:textId="024DDCB1"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1CA62F03"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149</w:t>
            </w:r>
          </w:p>
        </w:tc>
      </w:tr>
      <w:tr w:rsidR="00422AAB" w:rsidRPr="00B86865" w14:paraId="49992034" w14:textId="77777777" w:rsidTr="006D00F8">
        <w:trPr>
          <w:jc w:val="center"/>
        </w:trPr>
        <w:tc>
          <w:tcPr>
            <w:tcW w:w="1134" w:type="dxa"/>
            <w:tcBorders>
              <w:top w:val="nil"/>
              <w:bottom w:val="nil"/>
            </w:tcBorders>
          </w:tcPr>
          <w:p w14:paraId="263C1900"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2008</w:t>
            </w:r>
          </w:p>
        </w:tc>
        <w:tc>
          <w:tcPr>
            <w:tcW w:w="2268" w:type="dxa"/>
            <w:tcBorders>
              <w:top w:val="nil"/>
              <w:bottom w:val="nil"/>
            </w:tcBorders>
          </w:tcPr>
          <w:p w14:paraId="6A97DA9B" w14:textId="3BBE3A54"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5EAA62B2"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151</w:t>
            </w:r>
          </w:p>
        </w:tc>
      </w:tr>
      <w:tr w:rsidR="00422AAB" w:rsidRPr="00B86865" w14:paraId="2088618A" w14:textId="77777777" w:rsidTr="006D00F8">
        <w:trPr>
          <w:jc w:val="center"/>
        </w:trPr>
        <w:tc>
          <w:tcPr>
            <w:tcW w:w="1134" w:type="dxa"/>
            <w:tcBorders>
              <w:top w:val="nil"/>
              <w:bottom w:val="nil"/>
            </w:tcBorders>
          </w:tcPr>
          <w:p w14:paraId="1275470E"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2007</w:t>
            </w:r>
          </w:p>
        </w:tc>
        <w:tc>
          <w:tcPr>
            <w:tcW w:w="2268" w:type="dxa"/>
            <w:tcBorders>
              <w:top w:val="nil"/>
              <w:bottom w:val="nil"/>
            </w:tcBorders>
          </w:tcPr>
          <w:p w14:paraId="3833A799" w14:textId="56093B41"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30B1654F"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152</w:t>
            </w:r>
          </w:p>
        </w:tc>
      </w:tr>
      <w:tr w:rsidR="00422AAB" w:rsidRPr="00B86865" w14:paraId="752A765C" w14:textId="77777777" w:rsidTr="006D00F8">
        <w:trPr>
          <w:jc w:val="center"/>
        </w:trPr>
        <w:tc>
          <w:tcPr>
            <w:tcW w:w="1134" w:type="dxa"/>
            <w:tcBorders>
              <w:top w:val="nil"/>
              <w:bottom w:val="nil"/>
            </w:tcBorders>
          </w:tcPr>
          <w:p w14:paraId="2B12BCCE"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2006</w:t>
            </w:r>
          </w:p>
        </w:tc>
        <w:tc>
          <w:tcPr>
            <w:tcW w:w="2268" w:type="dxa"/>
            <w:tcBorders>
              <w:top w:val="nil"/>
              <w:bottom w:val="nil"/>
            </w:tcBorders>
          </w:tcPr>
          <w:p w14:paraId="08E2043B" w14:textId="3387D3E7"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61C8F34B"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153</w:t>
            </w:r>
          </w:p>
        </w:tc>
      </w:tr>
      <w:tr w:rsidR="00422AAB" w:rsidRPr="00B86865" w14:paraId="71A63FDD" w14:textId="77777777" w:rsidTr="006D00F8">
        <w:trPr>
          <w:jc w:val="center"/>
        </w:trPr>
        <w:tc>
          <w:tcPr>
            <w:tcW w:w="1134" w:type="dxa"/>
            <w:tcBorders>
              <w:top w:val="nil"/>
              <w:bottom w:val="nil"/>
            </w:tcBorders>
          </w:tcPr>
          <w:p w14:paraId="790B99C2"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2005</w:t>
            </w:r>
          </w:p>
        </w:tc>
        <w:tc>
          <w:tcPr>
            <w:tcW w:w="2268" w:type="dxa"/>
            <w:tcBorders>
              <w:top w:val="nil"/>
              <w:bottom w:val="nil"/>
            </w:tcBorders>
          </w:tcPr>
          <w:p w14:paraId="4D16AEDF" w14:textId="2FA633D9"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7A3F838A"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156</w:t>
            </w:r>
          </w:p>
        </w:tc>
      </w:tr>
      <w:tr w:rsidR="00422AAB" w:rsidRPr="00B86865" w14:paraId="45BA2445" w14:textId="77777777" w:rsidTr="006D00F8">
        <w:trPr>
          <w:jc w:val="center"/>
        </w:trPr>
        <w:tc>
          <w:tcPr>
            <w:tcW w:w="1134" w:type="dxa"/>
            <w:tcBorders>
              <w:top w:val="nil"/>
              <w:bottom w:val="nil"/>
            </w:tcBorders>
          </w:tcPr>
          <w:p w14:paraId="11ECEF82"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2004</w:t>
            </w:r>
          </w:p>
        </w:tc>
        <w:tc>
          <w:tcPr>
            <w:tcW w:w="2268" w:type="dxa"/>
            <w:tcBorders>
              <w:top w:val="nil"/>
              <w:bottom w:val="nil"/>
            </w:tcBorders>
          </w:tcPr>
          <w:p w14:paraId="49AD0932" w14:textId="60FFC60D"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0E469B22"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158</w:t>
            </w:r>
          </w:p>
        </w:tc>
      </w:tr>
      <w:tr w:rsidR="00422AAB" w:rsidRPr="00B86865" w14:paraId="55B98245" w14:textId="77777777" w:rsidTr="006D00F8">
        <w:trPr>
          <w:jc w:val="center"/>
        </w:trPr>
        <w:tc>
          <w:tcPr>
            <w:tcW w:w="1134" w:type="dxa"/>
            <w:tcBorders>
              <w:top w:val="nil"/>
              <w:bottom w:val="nil"/>
            </w:tcBorders>
          </w:tcPr>
          <w:p w14:paraId="110E3865"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2003</w:t>
            </w:r>
          </w:p>
        </w:tc>
        <w:tc>
          <w:tcPr>
            <w:tcW w:w="2268" w:type="dxa"/>
            <w:tcBorders>
              <w:top w:val="nil"/>
              <w:bottom w:val="nil"/>
            </w:tcBorders>
          </w:tcPr>
          <w:p w14:paraId="69963F8C" w14:textId="5C269CD3"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4410DB4A"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161</w:t>
            </w:r>
          </w:p>
        </w:tc>
      </w:tr>
      <w:tr w:rsidR="00422AAB" w:rsidRPr="00B86865" w14:paraId="4C259E47" w14:textId="77777777" w:rsidTr="006D00F8">
        <w:trPr>
          <w:jc w:val="center"/>
        </w:trPr>
        <w:tc>
          <w:tcPr>
            <w:tcW w:w="1134" w:type="dxa"/>
            <w:tcBorders>
              <w:top w:val="nil"/>
              <w:bottom w:val="nil"/>
            </w:tcBorders>
          </w:tcPr>
          <w:p w14:paraId="48C7697B"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2002</w:t>
            </w:r>
          </w:p>
        </w:tc>
        <w:tc>
          <w:tcPr>
            <w:tcW w:w="2268" w:type="dxa"/>
            <w:tcBorders>
              <w:top w:val="nil"/>
              <w:bottom w:val="nil"/>
            </w:tcBorders>
          </w:tcPr>
          <w:p w14:paraId="25267A6A" w14:textId="560C2AFE"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5032E91B"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164</w:t>
            </w:r>
          </w:p>
        </w:tc>
      </w:tr>
      <w:tr w:rsidR="00422AAB" w:rsidRPr="00B86865" w14:paraId="661FB4E5" w14:textId="77777777" w:rsidTr="006D00F8">
        <w:trPr>
          <w:jc w:val="center"/>
        </w:trPr>
        <w:tc>
          <w:tcPr>
            <w:tcW w:w="1134" w:type="dxa"/>
            <w:tcBorders>
              <w:top w:val="nil"/>
              <w:bottom w:val="nil"/>
            </w:tcBorders>
          </w:tcPr>
          <w:p w14:paraId="5A35F218"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2001</w:t>
            </w:r>
          </w:p>
        </w:tc>
        <w:tc>
          <w:tcPr>
            <w:tcW w:w="2268" w:type="dxa"/>
            <w:tcBorders>
              <w:top w:val="nil"/>
              <w:bottom w:val="nil"/>
            </w:tcBorders>
          </w:tcPr>
          <w:p w14:paraId="62955690" w14:textId="6DE64EAB"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1626B5F8"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174</w:t>
            </w:r>
          </w:p>
        </w:tc>
      </w:tr>
      <w:tr w:rsidR="00422AAB" w:rsidRPr="00B86865" w14:paraId="3B6C35DB" w14:textId="77777777" w:rsidTr="006D00F8">
        <w:trPr>
          <w:jc w:val="center"/>
        </w:trPr>
        <w:tc>
          <w:tcPr>
            <w:tcW w:w="1134" w:type="dxa"/>
            <w:tcBorders>
              <w:top w:val="nil"/>
              <w:bottom w:val="nil"/>
            </w:tcBorders>
          </w:tcPr>
          <w:p w14:paraId="696BB22B"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2000</w:t>
            </w:r>
          </w:p>
        </w:tc>
        <w:tc>
          <w:tcPr>
            <w:tcW w:w="2268" w:type="dxa"/>
            <w:tcBorders>
              <w:top w:val="nil"/>
              <w:bottom w:val="nil"/>
            </w:tcBorders>
          </w:tcPr>
          <w:p w14:paraId="639F1AEC" w14:textId="340EC525" w:rsidR="00422AAB" w:rsidRPr="00B86865" w:rsidRDefault="00422AAB" w:rsidP="0010012C">
            <w:pPr>
              <w:jc w:val="center"/>
              <w:rPr>
                <w:rFonts w:ascii="Times New Roman" w:hAnsi="Times New Roman" w:cs="Times New Roman"/>
                <w:b/>
                <w:sz w:val="20"/>
                <w:szCs w:val="20"/>
              </w:rPr>
            </w:pPr>
            <w:r w:rsidRPr="00C35D59">
              <w:rPr>
                <w:rFonts w:ascii="Times New Roman" w:hAnsi="Times New Roman" w:cs="Times New Roman"/>
                <w:sz w:val="20"/>
                <w:szCs w:val="20"/>
              </w:rPr>
              <w:t>87</w:t>
            </w:r>
          </w:p>
        </w:tc>
        <w:tc>
          <w:tcPr>
            <w:tcW w:w="2268" w:type="dxa"/>
            <w:tcBorders>
              <w:top w:val="nil"/>
              <w:bottom w:val="nil"/>
            </w:tcBorders>
          </w:tcPr>
          <w:p w14:paraId="69D8C0E0"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183</w:t>
            </w:r>
          </w:p>
        </w:tc>
      </w:tr>
      <w:tr w:rsidR="00422AAB" w:rsidRPr="00B86865" w14:paraId="009E2E00" w14:textId="77777777" w:rsidTr="006D00F8">
        <w:trPr>
          <w:jc w:val="center"/>
        </w:trPr>
        <w:tc>
          <w:tcPr>
            <w:tcW w:w="1134" w:type="dxa"/>
            <w:tcBorders>
              <w:top w:val="nil"/>
              <w:bottom w:val="nil"/>
            </w:tcBorders>
          </w:tcPr>
          <w:p w14:paraId="415ADC4A" w14:textId="77777777" w:rsidR="00422AAB" w:rsidRPr="00B86865" w:rsidRDefault="00422AAB" w:rsidP="0010012C">
            <w:pPr>
              <w:jc w:val="center"/>
              <w:rPr>
                <w:rFonts w:ascii="Times New Roman" w:hAnsi="Times New Roman" w:cs="Times New Roman"/>
                <w:b/>
                <w:sz w:val="20"/>
                <w:szCs w:val="20"/>
              </w:rPr>
            </w:pPr>
            <w:r w:rsidRPr="00B86865">
              <w:rPr>
                <w:rFonts w:ascii="Times New Roman" w:hAnsi="Times New Roman" w:cs="Times New Roman"/>
                <w:b/>
                <w:sz w:val="20"/>
                <w:szCs w:val="20"/>
              </w:rPr>
              <w:t>1999</w:t>
            </w:r>
          </w:p>
        </w:tc>
        <w:tc>
          <w:tcPr>
            <w:tcW w:w="2268" w:type="dxa"/>
            <w:tcBorders>
              <w:top w:val="nil"/>
              <w:bottom w:val="nil"/>
            </w:tcBorders>
          </w:tcPr>
          <w:p w14:paraId="55C1D288" w14:textId="6E6C12B6" w:rsidR="00422AAB" w:rsidRPr="00B86865" w:rsidRDefault="00422AAB" w:rsidP="0010012C">
            <w:pPr>
              <w:jc w:val="center"/>
              <w:rPr>
                <w:rFonts w:ascii="Times New Roman" w:hAnsi="Times New Roman" w:cs="Times New Roman"/>
                <w:sz w:val="20"/>
                <w:szCs w:val="20"/>
              </w:rPr>
            </w:pPr>
            <w:r w:rsidRPr="00C35D59">
              <w:rPr>
                <w:rFonts w:ascii="Times New Roman" w:hAnsi="Times New Roman" w:cs="Times New Roman"/>
                <w:sz w:val="20"/>
                <w:szCs w:val="20"/>
              </w:rPr>
              <w:t>87</w:t>
            </w:r>
          </w:p>
        </w:tc>
        <w:tc>
          <w:tcPr>
            <w:tcW w:w="2268" w:type="dxa"/>
            <w:tcBorders>
              <w:top w:val="nil"/>
              <w:bottom w:val="nil"/>
            </w:tcBorders>
          </w:tcPr>
          <w:p w14:paraId="07B68879"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187</w:t>
            </w:r>
          </w:p>
        </w:tc>
      </w:tr>
      <w:tr w:rsidR="00422AAB" w:rsidRPr="00B86865" w14:paraId="45E69D85" w14:textId="77777777" w:rsidTr="006D00F8">
        <w:trPr>
          <w:jc w:val="center"/>
        </w:trPr>
        <w:tc>
          <w:tcPr>
            <w:tcW w:w="1134" w:type="dxa"/>
            <w:tcBorders>
              <w:top w:val="nil"/>
              <w:bottom w:val="nil"/>
            </w:tcBorders>
          </w:tcPr>
          <w:p w14:paraId="4F5777A3" w14:textId="77777777" w:rsidR="00422AAB" w:rsidRPr="00B86865" w:rsidRDefault="00422AAB" w:rsidP="0010012C">
            <w:pPr>
              <w:jc w:val="center"/>
              <w:rPr>
                <w:rFonts w:ascii="Times New Roman" w:hAnsi="Times New Roman" w:cs="Times New Roman"/>
                <w:b/>
                <w:sz w:val="20"/>
                <w:szCs w:val="20"/>
              </w:rPr>
            </w:pPr>
            <w:r>
              <w:rPr>
                <w:rFonts w:ascii="Times New Roman" w:hAnsi="Times New Roman" w:cs="Times New Roman"/>
                <w:b/>
                <w:sz w:val="20"/>
                <w:szCs w:val="20"/>
              </w:rPr>
              <w:t>1998</w:t>
            </w:r>
          </w:p>
        </w:tc>
        <w:tc>
          <w:tcPr>
            <w:tcW w:w="2268" w:type="dxa"/>
            <w:tcBorders>
              <w:top w:val="nil"/>
              <w:bottom w:val="nil"/>
            </w:tcBorders>
          </w:tcPr>
          <w:p w14:paraId="6995868C" w14:textId="5DB88628" w:rsidR="00422AAB" w:rsidRPr="00B86865" w:rsidRDefault="00422AAB" w:rsidP="0010012C">
            <w:pPr>
              <w:jc w:val="center"/>
              <w:rPr>
                <w:rFonts w:ascii="Times New Roman" w:hAnsi="Times New Roman" w:cs="Times New Roman"/>
                <w:sz w:val="20"/>
                <w:szCs w:val="20"/>
              </w:rPr>
            </w:pPr>
            <w:r w:rsidRPr="00C35D59">
              <w:rPr>
                <w:rFonts w:ascii="Times New Roman" w:hAnsi="Times New Roman" w:cs="Times New Roman"/>
                <w:sz w:val="20"/>
                <w:szCs w:val="20"/>
              </w:rPr>
              <w:t>87</w:t>
            </w:r>
          </w:p>
        </w:tc>
        <w:tc>
          <w:tcPr>
            <w:tcW w:w="2268" w:type="dxa"/>
            <w:tcBorders>
              <w:top w:val="nil"/>
              <w:bottom w:val="nil"/>
            </w:tcBorders>
          </w:tcPr>
          <w:p w14:paraId="2857A877"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200</w:t>
            </w:r>
          </w:p>
        </w:tc>
      </w:tr>
      <w:tr w:rsidR="00422AAB" w:rsidRPr="00B86865" w14:paraId="4C592191" w14:textId="77777777" w:rsidTr="006D00F8">
        <w:trPr>
          <w:jc w:val="center"/>
        </w:trPr>
        <w:tc>
          <w:tcPr>
            <w:tcW w:w="1134" w:type="dxa"/>
            <w:tcBorders>
              <w:top w:val="nil"/>
              <w:bottom w:val="nil"/>
            </w:tcBorders>
          </w:tcPr>
          <w:p w14:paraId="3B35CB50" w14:textId="77777777" w:rsidR="00422AAB" w:rsidRPr="00B86865" w:rsidRDefault="00422AAB" w:rsidP="0010012C">
            <w:pPr>
              <w:jc w:val="center"/>
              <w:rPr>
                <w:rFonts w:ascii="Times New Roman" w:hAnsi="Times New Roman" w:cs="Times New Roman"/>
                <w:b/>
                <w:sz w:val="20"/>
                <w:szCs w:val="20"/>
              </w:rPr>
            </w:pPr>
            <w:r>
              <w:rPr>
                <w:rFonts w:ascii="Times New Roman" w:hAnsi="Times New Roman" w:cs="Times New Roman"/>
                <w:b/>
                <w:sz w:val="20"/>
                <w:szCs w:val="20"/>
              </w:rPr>
              <w:t>1997</w:t>
            </w:r>
          </w:p>
        </w:tc>
        <w:tc>
          <w:tcPr>
            <w:tcW w:w="2268" w:type="dxa"/>
            <w:tcBorders>
              <w:top w:val="nil"/>
              <w:bottom w:val="nil"/>
            </w:tcBorders>
          </w:tcPr>
          <w:p w14:paraId="19C5874B" w14:textId="0B2E3585" w:rsidR="00422AAB" w:rsidRPr="00B86865" w:rsidRDefault="00422AAB" w:rsidP="0010012C">
            <w:pPr>
              <w:jc w:val="center"/>
              <w:rPr>
                <w:rFonts w:ascii="Times New Roman" w:hAnsi="Times New Roman" w:cs="Times New Roman"/>
                <w:sz w:val="20"/>
                <w:szCs w:val="20"/>
              </w:rPr>
            </w:pPr>
            <w:r w:rsidRPr="00C35D59">
              <w:rPr>
                <w:rFonts w:ascii="Times New Roman" w:hAnsi="Times New Roman" w:cs="Times New Roman"/>
                <w:sz w:val="20"/>
                <w:szCs w:val="20"/>
              </w:rPr>
              <w:t>87</w:t>
            </w:r>
          </w:p>
        </w:tc>
        <w:tc>
          <w:tcPr>
            <w:tcW w:w="2268" w:type="dxa"/>
            <w:tcBorders>
              <w:top w:val="nil"/>
              <w:bottom w:val="nil"/>
            </w:tcBorders>
          </w:tcPr>
          <w:p w14:paraId="49E409CF"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210</w:t>
            </w:r>
          </w:p>
        </w:tc>
      </w:tr>
      <w:tr w:rsidR="00422AAB" w:rsidRPr="00B86865" w14:paraId="6E1EFDC2" w14:textId="77777777" w:rsidTr="006D00F8">
        <w:trPr>
          <w:jc w:val="center"/>
        </w:trPr>
        <w:tc>
          <w:tcPr>
            <w:tcW w:w="1134" w:type="dxa"/>
            <w:tcBorders>
              <w:top w:val="nil"/>
              <w:bottom w:val="single" w:sz="4" w:space="0" w:color="auto"/>
            </w:tcBorders>
          </w:tcPr>
          <w:p w14:paraId="12698993" w14:textId="77777777" w:rsidR="00422AAB" w:rsidRPr="00B86865" w:rsidRDefault="00422AAB" w:rsidP="0010012C">
            <w:pPr>
              <w:jc w:val="center"/>
              <w:rPr>
                <w:rFonts w:ascii="Times New Roman" w:hAnsi="Times New Roman" w:cs="Times New Roman"/>
                <w:b/>
                <w:sz w:val="20"/>
                <w:szCs w:val="20"/>
              </w:rPr>
            </w:pPr>
            <w:r>
              <w:rPr>
                <w:rFonts w:ascii="Times New Roman" w:hAnsi="Times New Roman" w:cs="Times New Roman"/>
                <w:b/>
                <w:sz w:val="20"/>
                <w:szCs w:val="20"/>
              </w:rPr>
              <w:t>1996</w:t>
            </w:r>
          </w:p>
        </w:tc>
        <w:tc>
          <w:tcPr>
            <w:tcW w:w="2268" w:type="dxa"/>
            <w:tcBorders>
              <w:top w:val="nil"/>
              <w:bottom w:val="single" w:sz="4" w:space="0" w:color="auto"/>
            </w:tcBorders>
          </w:tcPr>
          <w:p w14:paraId="75CF9455" w14:textId="3C93C015" w:rsidR="00422AAB" w:rsidRPr="00B86865" w:rsidRDefault="00422AAB" w:rsidP="0010012C">
            <w:pPr>
              <w:jc w:val="center"/>
              <w:rPr>
                <w:rFonts w:ascii="Times New Roman" w:hAnsi="Times New Roman" w:cs="Times New Roman"/>
                <w:sz w:val="20"/>
                <w:szCs w:val="20"/>
              </w:rPr>
            </w:pPr>
            <w:r w:rsidRPr="00C35D59">
              <w:rPr>
                <w:rFonts w:ascii="Times New Roman" w:hAnsi="Times New Roman" w:cs="Times New Roman"/>
                <w:sz w:val="20"/>
                <w:szCs w:val="20"/>
              </w:rPr>
              <w:t>87</w:t>
            </w:r>
          </w:p>
        </w:tc>
        <w:tc>
          <w:tcPr>
            <w:tcW w:w="2268" w:type="dxa"/>
            <w:tcBorders>
              <w:top w:val="nil"/>
              <w:bottom w:val="single" w:sz="4" w:space="0" w:color="auto"/>
            </w:tcBorders>
          </w:tcPr>
          <w:p w14:paraId="377A691B" w14:textId="77777777" w:rsidR="00422AAB" w:rsidRPr="00B86865" w:rsidRDefault="00422AAB" w:rsidP="0010012C">
            <w:pPr>
              <w:jc w:val="center"/>
              <w:rPr>
                <w:rFonts w:ascii="Times New Roman" w:hAnsi="Times New Roman" w:cs="Times New Roman"/>
                <w:sz w:val="20"/>
                <w:szCs w:val="20"/>
              </w:rPr>
            </w:pPr>
            <w:r>
              <w:rPr>
                <w:rFonts w:ascii="Times New Roman" w:hAnsi="Times New Roman" w:cs="Times New Roman"/>
                <w:sz w:val="20"/>
                <w:szCs w:val="20"/>
              </w:rPr>
              <w:t>219</w:t>
            </w:r>
          </w:p>
        </w:tc>
      </w:tr>
      <w:tr w:rsidR="006D00F8" w:rsidRPr="00B86865" w14:paraId="2530EA8A" w14:textId="77777777" w:rsidTr="006D00F8">
        <w:trPr>
          <w:jc w:val="center"/>
        </w:trPr>
        <w:tc>
          <w:tcPr>
            <w:tcW w:w="1134" w:type="dxa"/>
            <w:tcBorders>
              <w:top w:val="single" w:sz="4" w:space="0" w:color="auto"/>
            </w:tcBorders>
          </w:tcPr>
          <w:p w14:paraId="35F9EA39" w14:textId="77777777" w:rsidR="006D00F8" w:rsidRPr="00B86865" w:rsidRDefault="006D00F8" w:rsidP="0010012C">
            <w:pPr>
              <w:jc w:val="center"/>
              <w:rPr>
                <w:rFonts w:ascii="Times New Roman" w:hAnsi="Times New Roman" w:cs="Times New Roman"/>
                <w:b/>
                <w:sz w:val="20"/>
                <w:szCs w:val="20"/>
              </w:rPr>
            </w:pPr>
            <w:r w:rsidRPr="00B86865">
              <w:rPr>
                <w:rFonts w:ascii="Times New Roman" w:hAnsi="Times New Roman" w:cs="Times New Roman"/>
                <w:b/>
                <w:sz w:val="20"/>
                <w:szCs w:val="20"/>
              </w:rPr>
              <w:t>TOTAL</w:t>
            </w:r>
          </w:p>
        </w:tc>
        <w:tc>
          <w:tcPr>
            <w:tcW w:w="2268" w:type="dxa"/>
            <w:tcBorders>
              <w:top w:val="single" w:sz="4" w:space="0" w:color="auto"/>
            </w:tcBorders>
          </w:tcPr>
          <w:p w14:paraId="4F9B522A" w14:textId="53D315F2" w:rsidR="006D00F8" w:rsidRPr="00B86865" w:rsidRDefault="00422AAB" w:rsidP="0010012C">
            <w:pPr>
              <w:jc w:val="center"/>
              <w:rPr>
                <w:rFonts w:ascii="Times New Roman" w:hAnsi="Times New Roman" w:cs="Times New Roman"/>
                <w:b/>
                <w:sz w:val="20"/>
                <w:szCs w:val="20"/>
              </w:rPr>
            </w:pPr>
            <w:r>
              <w:rPr>
                <w:rFonts w:ascii="Times New Roman" w:hAnsi="Times New Roman" w:cs="Times New Roman"/>
                <w:b/>
                <w:sz w:val="20"/>
                <w:szCs w:val="20"/>
              </w:rPr>
              <w:t>1566</w:t>
            </w:r>
          </w:p>
        </w:tc>
        <w:tc>
          <w:tcPr>
            <w:tcW w:w="2268" w:type="dxa"/>
            <w:tcBorders>
              <w:top w:val="single" w:sz="4" w:space="0" w:color="auto"/>
            </w:tcBorders>
          </w:tcPr>
          <w:p w14:paraId="14ABFDB6" w14:textId="77777777" w:rsidR="006D00F8" w:rsidRPr="00B86865" w:rsidRDefault="006D00F8" w:rsidP="0010012C">
            <w:pPr>
              <w:jc w:val="center"/>
              <w:rPr>
                <w:rFonts w:ascii="Times New Roman" w:hAnsi="Times New Roman" w:cs="Times New Roman"/>
                <w:b/>
                <w:sz w:val="20"/>
                <w:szCs w:val="20"/>
              </w:rPr>
            </w:pPr>
            <w:r>
              <w:rPr>
                <w:rFonts w:ascii="Times New Roman" w:hAnsi="Times New Roman" w:cs="Times New Roman"/>
                <w:b/>
                <w:sz w:val="20"/>
                <w:szCs w:val="20"/>
              </w:rPr>
              <w:t>3034</w:t>
            </w:r>
          </w:p>
        </w:tc>
      </w:tr>
    </w:tbl>
    <w:p w14:paraId="60A2652E" w14:textId="2D1F3638" w:rsidR="006D00F8" w:rsidRPr="006D00F8" w:rsidRDefault="006D00F8" w:rsidP="0010012C">
      <w:pPr>
        <w:autoSpaceDE w:val="0"/>
        <w:autoSpaceDN w:val="0"/>
        <w:adjustRightInd w:val="0"/>
        <w:spacing w:line="240" w:lineRule="auto"/>
        <w:ind w:left="1701"/>
        <w:jc w:val="both"/>
        <w:rPr>
          <w:rFonts w:ascii="Times New Roman" w:hAnsi="Times New Roman" w:cs="Times New Roman"/>
          <w:sz w:val="20"/>
          <w:szCs w:val="20"/>
        </w:rPr>
      </w:pPr>
      <w:r w:rsidRPr="006D00F8">
        <w:rPr>
          <w:rFonts w:ascii="Times New Roman" w:hAnsi="Times New Roman" w:cs="Times New Roman"/>
          <w:sz w:val="20"/>
          <w:szCs w:val="20"/>
        </w:rPr>
        <w:t>Fonte: Elaboração Própria</w:t>
      </w:r>
    </w:p>
    <w:p w14:paraId="1B735069" w14:textId="06093D9E" w:rsidR="00E7522A" w:rsidRDefault="006D00F8" w:rsidP="0010012C">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Observa-se</w:t>
      </w:r>
      <w:r w:rsidR="00345E6A">
        <w:rPr>
          <w:rFonts w:ascii="Times New Roman" w:hAnsi="Times New Roman" w:cs="Times New Roman"/>
          <w:sz w:val="24"/>
          <w:szCs w:val="24"/>
        </w:rPr>
        <w:t>,</w:t>
      </w:r>
      <w:r>
        <w:rPr>
          <w:rFonts w:ascii="Times New Roman" w:hAnsi="Times New Roman" w:cs="Times New Roman"/>
          <w:sz w:val="24"/>
          <w:szCs w:val="24"/>
        </w:rPr>
        <w:t xml:space="preserve"> mediante a tabela 1</w:t>
      </w:r>
      <w:r w:rsidR="00345E6A">
        <w:rPr>
          <w:rFonts w:ascii="Times New Roman" w:hAnsi="Times New Roman" w:cs="Times New Roman"/>
          <w:sz w:val="24"/>
          <w:szCs w:val="24"/>
        </w:rPr>
        <w:t>,</w:t>
      </w:r>
      <w:r>
        <w:rPr>
          <w:rFonts w:ascii="Times New Roman" w:hAnsi="Times New Roman" w:cs="Times New Roman"/>
          <w:sz w:val="24"/>
          <w:szCs w:val="24"/>
        </w:rPr>
        <w:t xml:space="preserve"> que o número de instituições financeiras </w:t>
      </w:r>
      <w:r w:rsidR="00422AAB">
        <w:rPr>
          <w:rFonts w:ascii="Times New Roman" w:hAnsi="Times New Roman" w:cs="Times New Roman"/>
          <w:sz w:val="24"/>
          <w:szCs w:val="24"/>
        </w:rPr>
        <w:t>diminuiu</w:t>
      </w:r>
      <w:r>
        <w:rPr>
          <w:rFonts w:ascii="Times New Roman" w:hAnsi="Times New Roman" w:cs="Times New Roman"/>
          <w:sz w:val="24"/>
          <w:szCs w:val="24"/>
        </w:rPr>
        <w:t xml:space="preserve"> ao longo dos anos, onde tem-se que no ano de 1996 foram analisadas 219 companhias, enquanto que em 2013 o número de companhias totalizou 148. Isso é reflexo</w:t>
      </w:r>
      <w:r w:rsidR="00345E6A">
        <w:rPr>
          <w:rFonts w:ascii="Times New Roman" w:hAnsi="Times New Roman" w:cs="Times New Roman"/>
          <w:sz w:val="24"/>
          <w:szCs w:val="24"/>
        </w:rPr>
        <w:t>,</w:t>
      </w:r>
      <w:r>
        <w:rPr>
          <w:rFonts w:ascii="Times New Roman" w:hAnsi="Times New Roman" w:cs="Times New Roman"/>
          <w:sz w:val="24"/>
          <w:szCs w:val="24"/>
        </w:rPr>
        <w:t xml:space="preserve"> principalmente</w:t>
      </w:r>
      <w:r w:rsidR="00345E6A">
        <w:rPr>
          <w:rFonts w:ascii="Times New Roman" w:hAnsi="Times New Roman" w:cs="Times New Roman"/>
          <w:sz w:val="24"/>
          <w:szCs w:val="24"/>
        </w:rPr>
        <w:t>,</w:t>
      </w:r>
      <w:r>
        <w:rPr>
          <w:rFonts w:ascii="Times New Roman" w:hAnsi="Times New Roman" w:cs="Times New Roman"/>
          <w:sz w:val="24"/>
          <w:szCs w:val="24"/>
        </w:rPr>
        <w:t xml:space="preserve"> das políticas governamentais de liberalização do sistema financeiro, que aumentou a concorrência do setor pela </w:t>
      </w:r>
      <w:r w:rsidR="00E7522A">
        <w:rPr>
          <w:rFonts w:ascii="Times New Roman" w:hAnsi="Times New Roman" w:cs="Times New Roman"/>
          <w:sz w:val="24"/>
          <w:szCs w:val="24"/>
        </w:rPr>
        <w:t>abertura deste mercado para bancos estrangeiros com o objetivo de o</w:t>
      </w:r>
      <w:r>
        <w:rPr>
          <w:rFonts w:ascii="Times New Roman" w:hAnsi="Times New Roman" w:cs="Times New Roman"/>
          <w:sz w:val="24"/>
          <w:szCs w:val="24"/>
        </w:rPr>
        <w:t>ferec</w:t>
      </w:r>
      <w:r w:rsidR="00E7522A">
        <w:rPr>
          <w:rFonts w:ascii="Times New Roman" w:hAnsi="Times New Roman" w:cs="Times New Roman"/>
          <w:sz w:val="24"/>
          <w:szCs w:val="24"/>
        </w:rPr>
        <w:t>er</w:t>
      </w:r>
      <w:r>
        <w:rPr>
          <w:rFonts w:ascii="Times New Roman" w:hAnsi="Times New Roman" w:cs="Times New Roman"/>
          <w:sz w:val="24"/>
          <w:szCs w:val="24"/>
        </w:rPr>
        <w:t xml:space="preserve"> melhores serviços à população</w:t>
      </w:r>
      <w:r w:rsidR="00E7522A">
        <w:rPr>
          <w:rFonts w:ascii="Times New Roman" w:hAnsi="Times New Roman" w:cs="Times New Roman"/>
          <w:sz w:val="24"/>
          <w:szCs w:val="24"/>
        </w:rPr>
        <w:t>.</w:t>
      </w:r>
    </w:p>
    <w:p w14:paraId="511086A1" w14:textId="2B8D786B" w:rsidR="006D00F8" w:rsidRPr="00E55BD5" w:rsidRDefault="00E7522A" w:rsidP="0010012C">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Outro fato determinante nesta diminuição do número de instituições é o número de fusões e aquisições ocorridas neste período</w:t>
      </w:r>
      <w:r w:rsidR="00345E6A">
        <w:rPr>
          <w:rFonts w:ascii="Times New Roman" w:hAnsi="Times New Roman" w:cs="Times New Roman"/>
          <w:sz w:val="24"/>
          <w:szCs w:val="24"/>
        </w:rPr>
        <w:t>,</w:t>
      </w:r>
      <w:r>
        <w:rPr>
          <w:rFonts w:ascii="Times New Roman" w:hAnsi="Times New Roman" w:cs="Times New Roman"/>
          <w:sz w:val="24"/>
          <w:szCs w:val="24"/>
        </w:rPr>
        <w:t xml:space="preserve"> como consequência de dificuldades financeiras e mercadológicas das instituições que foram incorporadas, além de estratégias de fusões e aquisições para o aumento de </w:t>
      </w:r>
      <w:proofErr w:type="spellStart"/>
      <w:r w:rsidRPr="00E7522A">
        <w:rPr>
          <w:rFonts w:ascii="Times New Roman" w:hAnsi="Times New Roman" w:cs="Times New Roman"/>
          <w:i/>
          <w:sz w:val="24"/>
          <w:szCs w:val="24"/>
        </w:rPr>
        <w:t>market-share</w:t>
      </w:r>
      <w:proofErr w:type="spellEnd"/>
      <w:r w:rsidRPr="00E7522A">
        <w:rPr>
          <w:rFonts w:ascii="Times New Roman" w:hAnsi="Times New Roman" w:cs="Times New Roman"/>
          <w:sz w:val="24"/>
          <w:szCs w:val="24"/>
        </w:rPr>
        <w:t xml:space="preserve"> </w:t>
      </w:r>
      <w:r>
        <w:rPr>
          <w:rFonts w:ascii="Times New Roman" w:hAnsi="Times New Roman" w:cs="Times New Roman"/>
          <w:sz w:val="24"/>
          <w:szCs w:val="24"/>
        </w:rPr>
        <w:t>e aproveitamento de sinergias entre as instituições.</w:t>
      </w:r>
    </w:p>
    <w:p w14:paraId="02099E11" w14:textId="47A7D0F2" w:rsidR="006D00F8" w:rsidRDefault="00514782" w:rsidP="0010012C">
      <w:pPr>
        <w:spacing w:before="240" w:line="240" w:lineRule="auto"/>
        <w:jc w:val="both"/>
        <w:rPr>
          <w:rFonts w:ascii="Times New Roman" w:hAnsi="Times New Roman" w:cs="Times New Roman"/>
          <w:b/>
          <w:sz w:val="24"/>
          <w:szCs w:val="24"/>
        </w:rPr>
      </w:pPr>
      <w:r w:rsidRPr="001B7925">
        <w:rPr>
          <w:rFonts w:ascii="Times New Roman" w:hAnsi="Times New Roman" w:cs="Times New Roman"/>
          <w:b/>
          <w:sz w:val="24"/>
          <w:szCs w:val="24"/>
        </w:rPr>
        <w:t>3.3.</w:t>
      </w:r>
      <w:r>
        <w:rPr>
          <w:rFonts w:ascii="Times New Roman" w:hAnsi="Times New Roman" w:cs="Times New Roman"/>
          <w:b/>
          <w:sz w:val="24"/>
          <w:szCs w:val="24"/>
        </w:rPr>
        <w:t xml:space="preserve"> DESENVOLVIMENTO DE HIPÓTESES E DEFINIÇÃO DOS MODELOS E</w:t>
      </w:r>
      <w:r w:rsidRPr="001B7925">
        <w:rPr>
          <w:rFonts w:ascii="Times New Roman" w:hAnsi="Times New Roman" w:cs="Times New Roman"/>
          <w:b/>
          <w:sz w:val="24"/>
          <w:szCs w:val="24"/>
        </w:rPr>
        <w:t>MPREGADOS</w:t>
      </w:r>
    </w:p>
    <w:p w14:paraId="23F1DA79" w14:textId="6D51662D" w:rsidR="00253F53" w:rsidRDefault="00C8253C" w:rsidP="0010012C">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Considerando o argumento de </w:t>
      </w:r>
      <w:r w:rsidRPr="00C362DB">
        <w:rPr>
          <w:rFonts w:ascii="Times New Roman" w:hAnsi="Times New Roman" w:cs="Times New Roman"/>
          <w:sz w:val="24"/>
          <w:szCs w:val="24"/>
        </w:rPr>
        <w:t>Hortlund (2005)</w:t>
      </w:r>
      <w:r w:rsidR="00345E6A">
        <w:rPr>
          <w:rFonts w:ascii="Times New Roman" w:hAnsi="Times New Roman" w:cs="Times New Roman"/>
          <w:sz w:val="24"/>
          <w:szCs w:val="24"/>
        </w:rPr>
        <w:t>,</w:t>
      </w:r>
      <w:r>
        <w:rPr>
          <w:rFonts w:ascii="Times New Roman" w:hAnsi="Times New Roman" w:cs="Times New Roman"/>
          <w:sz w:val="24"/>
          <w:szCs w:val="24"/>
        </w:rPr>
        <w:t xml:space="preserve"> de que a inflação automaticamente aumenta a quantidade de dívida que as instituições financeiras possuem, este trabalho busca inferir sobre este fenômeno no setor bancário brasileiro.</w:t>
      </w:r>
    </w:p>
    <w:p w14:paraId="0D8A0F43" w14:textId="2E648AD9" w:rsidR="00C8253C" w:rsidRDefault="00C8253C" w:rsidP="0010012C">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se medir a proporção de dívida que cada instituição possui, foi utilizada a variável </w:t>
      </w:r>
      <w:r w:rsidRPr="00C8253C">
        <w:rPr>
          <w:rFonts w:ascii="Times New Roman" w:hAnsi="Times New Roman" w:cs="Times New Roman"/>
          <w:i/>
          <w:sz w:val="24"/>
          <w:szCs w:val="24"/>
        </w:rPr>
        <w:t>D/A</w:t>
      </w:r>
      <w:r>
        <w:rPr>
          <w:rFonts w:ascii="Times New Roman" w:hAnsi="Times New Roman" w:cs="Times New Roman"/>
          <w:sz w:val="24"/>
          <w:szCs w:val="24"/>
        </w:rPr>
        <w:t xml:space="preserve"> que indica a razão entre Dívida/Ativo Total. A inflação, que será testada como determinante do endividamento</w:t>
      </w:r>
      <w:r w:rsidR="003269CA">
        <w:rPr>
          <w:rFonts w:ascii="Times New Roman" w:hAnsi="Times New Roman" w:cs="Times New Roman"/>
          <w:sz w:val="24"/>
          <w:szCs w:val="24"/>
        </w:rPr>
        <w:t>,</w:t>
      </w:r>
      <w:r>
        <w:rPr>
          <w:rFonts w:ascii="Times New Roman" w:hAnsi="Times New Roman" w:cs="Times New Roman"/>
          <w:sz w:val="24"/>
          <w:szCs w:val="24"/>
        </w:rPr>
        <w:t xml:space="preserve"> é mensurada pelo IPCA de cada ano. Como variável de controle são utilizados índices de lucratividade (Retorno sobre o Ativo – ROA), o tamanho da instituição (medido pelo logaritmo do Ativo Total), o crescimento dos ativos, a relação entre os empréstimos efetuados por cada instituição e seus ativos totais (Empréstimos/Ativos), a origem do financiamento de sua dívida (Depósitos/Passivo Exigível) e variáveis macroeconômicas</w:t>
      </w:r>
      <w:r w:rsidR="00CF133B">
        <w:rPr>
          <w:rFonts w:ascii="Times New Roman" w:hAnsi="Times New Roman" w:cs="Times New Roman"/>
          <w:sz w:val="24"/>
          <w:szCs w:val="24"/>
        </w:rPr>
        <w:t xml:space="preserve"> (crescimento do PIB e taxa de juros)</w:t>
      </w:r>
      <w:r w:rsidR="00676AF2">
        <w:rPr>
          <w:rFonts w:ascii="Times New Roman" w:hAnsi="Times New Roman" w:cs="Times New Roman"/>
          <w:sz w:val="24"/>
          <w:szCs w:val="24"/>
        </w:rPr>
        <w:t xml:space="preserve"> e variáveis </w:t>
      </w:r>
      <w:bookmarkStart w:id="2" w:name="_GoBack"/>
      <w:proofErr w:type="spellStart"/>
      <w:r w:rsidR="00676AF2" w:rsidRPr="00C04EF6">
        <w:rPr>
          <w:rFonts w:ascii="Times New Roman" w:hAnsi="Times New Roman" w:cs="Times New Roman"/>
          <w:i/>
          <w:sz w:val="24"/>
          <w:szCs w:val="24"/>
        </w:rPr>
        <w:t>dummies</w:t>
      </w:r>
      <w:proofErr w:type="spellEnd"/>
      <w:r w:rsidR="00676AF2" w:rsidRPr="00C04EF6">
        <w:rPr>
          <w:rFonts w:ascii="Times New Roman" w:hAnsi="Times New Roman" w:cs="Times New Roman"/>
          <w:i/>
          <w:sz w:val="24"/>
          <w:szCs w:val="24"/>
        </w:rPr>
        <w:t xml:space="preserve"> </w:t>
      </w:r>
      <w:bookmarkEnd w:id="2"/>
      <w:r w:rsidR="00676AF2">
        <w:rPr>
          <w:rFonts w:ascii="Times New Roman" w:hAnsi="Times New Roman" w:cs="Times New Roman"/>
          <w:sz w:val="24"/>
          <w:szCs w:val="24"/>
        </w:rPr>
        <w:t xml:space="preserve">representativas dos Acordos de </w:t>
      </w:r>
      <w:r w:rsidR="00F42F07">
        <w:rPr>
          <w:rFonts w:ascii="Times New Roman" w:hAnsi="Times New Roman" w:cs="Times New Roman"/>
          <w:sz w:val="24"/>
          <w:szCs w:val="24"/>
        </w:rPr>
        <w:t>C</w:t>
      </w:r>
      <w:r w:rsidR="00676AF2">
        <w:rPr>
          <w:rFonts w:ascii="Times New Roman" w:hAnsi="Times New Roman" w:cs="Times New Roman"/>
          <w:sz w:val="24"/>
          <w:szCs w:val="24"/>
        </w:rPr>
        <w:t>apital de Basileia II e III</w:t>
      </w:r>
      <w:r w:rsidR="00B1379D">
        <w:rPr>
          <w:rFonts w:ascii="Times New Roman" w:hAnsi="Times New Roman" w:cs="Times New Roman"/>
          <w:sz w:val="24"/>
          <w:szCs w:val="24"/>
        </w:rPr>
        <w:t>, os quais tiveram suas recomendações aplicadas no sistema financeiro nacional a partir dos anos de 2004 e 2011, respectivamente</w:t>
      </w:r>
      <w:r>
        <w:rPr>
          <w:rFonts w:ascii="Times New Roman" w:hAnsi="Times New Roman" w:cs="Times New Roman"/>
          <w:sz w:val="24"/>
          <w:szCs w:val="24"/>
        </w:rPr>
        <w:t>.</w:t>
      </w:r>
    </w:p>
    <w:p w14:paraId="019FA5B1" w14:textId="0CBD9FB6" w:rsidR="000418FF" w:rsidRPr="00FC4870" w:rsidRDefault="009B4BB0" w:rsidP="0090530C">
      <w:pPr>
        <w:pStyle w:val="TNormal"/>
        <w:spacing w:after="120" w:line="240" w:lineRule="auto"/>
        <w:ind w:firstLine="567"/>
        <w:rPr>
          <w:szCs w:val="24"/>
        </w:rPr>
      </w:pPr>
      <w:r>
        <w:rPr>
          <w:szCs w:val="24"/>
        </w:rPr>
        <w:t xml:space="preserve">O ROA é utilizado por </w:t>
      </w:r>
      <w:proofErr w:type="spellStart"/>
      <w:r w:rsidRPr="00FC4870">
        <w:rPr>
          <w:szCs w:val="24"/>
        </w:rPr>
        <w:t>Schaeck</w:t>
      </w:r>
      <w:proofErr w:type="spellEnd"/>
      <w:r w:rsidRPr="00FC4870">
        <w:rPr>
          <w:szCs w:val="24"/>
        </w:rPr>
        <w:t xml:space="preserve"> e </w:t>
      </w:r>
      <w:proofErr w:type="spellStart"/>
      <w:r w:rsidRPr="00FC4870">
        <w:rPr>
          <w:szCs w:val="24"/>
        </w:rPr>
        <w:t>Cihák</w:t>
      </w:r>
      <w:proofErr w:type="spellEnd"/>
      <w:r w:rsidRPr="00FC4870">
        <w:rPr>
          <w:szCs w:val="24"/>
        </w:rPr>
        <w:t xml:space="preserve"> (2012)</w:t>
      </w:r>
      <w:r w:rsidR="0090530C" w:rsidRPr="00FC4870">
        <w:rPr>
          <w:szCs w:val="24"/>
        </w:rPr>
        <w:t xml:space="preserve"> como variável de controle, visto que a lucratividade exerce influência sobre o endividamento/capitalização das instituições financeiras.</w:t>
      </w:r>
      <w:r w:rsidR="000418FF" w:rsidRPr="00FC4870">
        <w:rPr>
          <w:szCs w:val="24"/>
        </w:rPr>
        <w:t xml:space="preserve"> Conforme a teoria do </w:t>
      </w:r>
      <w:proofErr w:type="spellStart"/>
      <w:r w:rsidR="000418FF" w:rsidRPr="00FC4870">
        <w:rPr>
          <w:i/>
          <w:szCs w:val="24"/>
        </w:rPr>
        <w:t>pecking</w:t>
      </w:r>
      <w:proofErr w:type="spellEnd"/>
      <w:r w:rsidR="000418FF" w:rsidRPr="00FC4870">
        <w:rPr>
          <w:i/>
          <w:szCs w:val="24"/>
        </w:rPr>
        <w:t xml:space="preserve"> </w:t>
      </w:r>
      <w:proofErr w:type="spellStart"/>
      <w:r w:rsidR="000418FF" w:rsidRPr="00FC4870">
        <w:rPr>
          <w:i/>
          <w:szCs w:val="24"/>
        </w:rPr>
        <w:t>order</w:t>
      </w:r>
      <w:proofErr w:type="spellEnd"/>
      <w:r w:rsidR="000418FF" w:rsidRPr="00FC4870">
        <w:rPr>
          <w:szCs w:val="24"/>
        </w:rPr>
        <w:t>, empresas preferem financiar suas atividades primeiramente através dos lucros retidos, depois pela emissão de dívida e por fim, pela emissão de títulos de patrimônio</w:t>
      </w:r>
      <w:r w:rsidR="007D49AD" w:rsidRPr="00FC4870">
        <w:rPr>
          <w:szCs w:val="24"/>
        </w:rPr>
        <w:t xml:space="preserve"> (MYERS, 1984; MYERS; MAJLUF, 1984; SHYAM-SUNDER; MYERS, 1999)</w:t>
      </w:r>
      <w:r w:rsidR="000418FF" w:rsidRPr="00FC4870">
        <w:rPr>
          <w:szCs w:val="24"/>
        </w:rPr>
        <w:t>. Neste caso, empresas mais lucrativas têm uma maior propensão de financiar suas atividades com lucros retidos, apresentando menor endividamento</w:t>
      </w:r>
      <w:r w:rsidR="007D49AD" w:rsidRPr="00FC4870">
        <w:rPr>
          <w:szCs w:val="24"/>
        </w:rPr>
        <w:t xml:space="preserve"> (KAHLE; SHASTRI, 2005)</w:t>
      </w:r>
      <w:r w:rsidR="000418FF" w:rsidRPr="00FC4870">
        <w:rPr>
          <w:szCs w:val="24"/>
        </w:rPr>
        <w:t>.</w:t>
      </w:r>
    </w:p>
    <w:p w14:paraId="5C47A96C" w14:textId="671AAEC3" w:rsidR="00C8116E" w:rsidRPr="00FC4870" w:rsidRDefault="0090530C">
      <w:pPr>
        <w:pStyle w:val="TNormal"/>
        <w:spacing w:after="120" w:line="240" w:lineRule="auto"/>
        <w:ind w:firstLine="567"/>
        <w:rPr>
          <w:szCs w:val="24"/>
        </w:rPr>
      </w:pPr>
      <w:r w:rsidRPr="00FC4870">
        <w:rPr>
          <w:szCs w:val="24"/>
        </w:rPr>
        <w:t xml:space="preserve">O tamanho da instituição gera um </w:t>
      </w:r>
      <w:r w:rsidR="00160AD2" w:rsidRPr="00FC4870">
        <w:rPr>
          <w:szCs w:val="24"/>
        </w:rPr>
        <w:t xml:space="preserve">efeito chamado </w:t>
      </w:r>
      <w:r w:rsidR="00160AD2" w:rsidRPr="00FC4870">
        <w:rPr>
          <w:i/>
          <w:szCs w:val="24"/>
        </w:rPr>
        <w:t>too-big-</w:t>
      </w:r>
      <w:proofErr w:type="spellStart"/>
      <w:r w:rsidR="00160AD2" w:rsidRPr="00FC4870">
        <w:rPr>
          <w:i/>
          <w:szCs w:val="24"/>
        </w:rPr>
        <w:t>to</w:t>
      </w:r>
      <w:proofErr w:type="spellEnd"/>
      <w:r w:rsidR="00160AD2" w:rsidRPr="00FC4870">
        <w:rPr>
          <w:i/>
          <w:szCs w:val="24"/>
        </w:rPr>
        <w:t>-</w:t>
      </w:r>
      <w:proofErr w:type="spellStart"/>
      <w:r w:rsidR="00160AD2" w:rsidRPr="00FC4870">
        <w:rPr>
          <w:i/>
          <w:szCs w:val="24"/>
        </w:rPr>
        <w:t>fail</w:t>
      </w:r>
      <w:proofErr w:type="spellEnd"/>
      <w:r w:rsidR="00160AD2" w:rsidRPr="00FC4870">
        <w:rPr>
          <w:szCs w:val="24"/>
        </w:rPr>
        <w:t xml:space="preserve"> (grande demais para falir) onde Barth e </w:t>
      </w:r>
      <w:proofErr w:type="spellStart"/>
      <w:r w:rsidR="00160AD2" w:rsidRPr="00FC4870">
        <w:rPr>
          <w:szCs w:val="24"/>
        </w:rPr>
        <w:t>Schnabel</w:t>
      </w:r>
      <w:proofErr w:type="spellEnd"/>
      <w:r w:rsidR="00160AD2" w:rsidRPr="00FC4870">
        <w:rPr>
          <w:szCs w:val="24"/>
        </w:rPr>
        <w:t xml:space="preserve"> (2013) argumentam que o tamanho dos bancos gera um benefício implícito de “salvação” onde, pelo seu tamanho e importância para um sistema financeiro, o governo estará disposto a oferecer ajuda em caso de dificuldades financeiras. Neste caso seria mais provável que existisse risco moral pela assunção de maiores quantidades de dívida, que teria como objetivo aumentar a lucratividade por meio do aumento do número de operações.</w:t>
      </w:r>
      <w:r w:rsidR="00275049" w:rsidRPr="00FC4870">
        <w:rPr>
          <w:szCs w:val="24"/>
        </w:rPr>
        <w:t xml:space="preserve"> </w:t>
      </w:r>
    </w:p>
    <w:p w14:paraId="4F7CD447" w14:textId="70F2E1C9" w:rsidR="00511B99" w:rsidRPr="00FA0951" w:rsidRDefault="00C8116E" w:rsidP="00C04EF6">
      <w:pPr>
        <w:pStyle w:val="TNormal"/>
        <w:spacing w:after="120" w:line="240" w:lineRule="auto"/>
        <w:ind w:firstLine="567"/>
        <w:rPr>
          <w:szCs w:val="24"/>
        </w:rPr>
      </w:pPr>
      <w:r w:rsidRPr="00FC4870">
        <w:rPr>
          <w:szCs w:val="24"/>
        </w:rPr>
        <w:t xml:space="preserve">Ao mesmo tempo, o tamanho da instituição pode server como </w:t>
      </w:r>
      <w:r w:rsidRPr="00C04EF6">
        <w:rPr>
          <w:i/>
          <w:szCs w:val="24"/>
        </w:rPr>
        <w:t>proxy</w:t>
      </w:r>
      <w:r w:rsidRPr="00FC4870">
        <w:rPr>
          <w:szCs w:val="24"/>
        </w:rPr>
        <w:t xml:space="preserve"> para a diversificação dos setores na qual </w:t>
      </w:r>
      <w:proofErr w:type="spellStart"/>
      <w:r w:rsidRPr="00FC4870">
        <w:rPr>
          <w:szCs w:val="24"/>
        </w:rPr>
        <w:t>esta</w:t>
      </w:r>
      <w:proofErr w:type="spellEnd"/>
      <w:r w:rsidRPr="00FC4870">
        <w:rPr>
          <w:szCs w:val="24"/>
        </w:rPr>
        <w:t xml:space="preserve"> atua, onde </w:t>
      </w:r>
      <w:proofErr w:type="spellStart"/>
      <w:r>
        <w:rPr>
          <w:szCs w:val="24"/>
        </w:rPr>
        <w:t>Brewer</w:t>
      </w:r>
      <w:proofErr w:type="spellEnd"/>
      <w:r>
        <w:rPr>
          <w:szCs w:val="24"/>
        </w:rPr>
        <w:t>, Kaufman e Wall</w:t>
      </w:r>
      <w:r w:rsidRPr="00FC4870">
        <w:rPr>
          <w:szCs w:val="24"/>
        </w:rPr>
        <w:t xml:space="preserve"> (2008) argumentam que o menor risco advindo desta diversificação reduz as necessidades de capital como forma de financiamento das atividades. </w:t>
      </w:r>
      <w:r w:rsidR="00275049" w:rsidRPr="00FC4870">
        <w:rPr>
          <w:szCs w:val="24"/>
        </w:rPr>
        <w:t xml:space="preserve">Esta hipótese é corroborada por </w:t>
      </w:r>
      <w:r w:rsidRPr="00FC4870">
        <w:rPr>
          <w:szCs w:val="24"/>
        </w:rPr>
        <w:t>também por</w:t>
      </w:r>
      <w:r w:rsidR="00C04EF6">
        <w:rPr>
          <w:szCs w:val="24"/>
        </w:rPr>
        <w:t xml:space="preserve"> </w:t>
      </w:r>
      <w:r w:rsidR="00511B99" w:rsidRPr="00FA0951">
        <w:rPr>
          <w:szCs w:val="24"/>
        </w:rPr>
        <w:t xml:space="preserve">Ahmad, </w:t>
      </w:r>
      <w:proofErr w:type="spellStart"/>
      <w:r w:rsidR="00511B99" w:rsidRPr="00FA0951">
        <w:rPr>
          <w:szCs w:val="24"/>
        </w:rPr>
        <w:t>Ariff</w:t>
      </w:r>
      <w:proofErr w:type="spellEnd"/>
      <w:r w:rsidR="00511B99" w:rsidRPr="00FA0951">
        <w:rPr>
          <w:szCs w:val="24"/>
        </w:rPr>
        <w:t xml:space="preserve"> e </w:t>
      </w:r>
      <w:proofErr w:type="spellStart"/>
      <w:r w:rsidR="00511B99" w:rsidRPr="00FA0951">
        <w:rPr>
          <w:szCs w:val="24"/>
        </w:rPr>
        <w:t>Skully</w:t>
      </w:r>
      <w:proofErr w:type="spellEnd"/>
      <w:r w:rsidR="00511B99" w:rsidRPr="00FA0951">
        <w:rPr>
          <w:szCs w:val="24"/>
        </w:rPr>
        <w:t xml:space="preserve"> (2008) e </w:t>
      </w:r>
      <w:proofErr w:type="spellStart"/>
      <w:r w:rsidR="00511B99" w:rsidRPr="00FA0951">
        <w:rPr>
          <w:szCs w:val="24"/>
        </w:rPr>
        <w:t>Kleff</w:t>
      </w:r>
      <w:proofErr w:type="spellEnd"/>
      <w:r w:rsidR="00511B99" w:rsidRPr="00FA0951">
        <w:rPr>
          <w:szCs w:val="24"/>
        </w:rPr>
        <w:t xml:space="preserve"> e Weber (2008).</w:t>
      </w:r>
    </w:p>
    <w:p w14:paraId="3ADE50A1" w14:textId="4AA50856" w:rsidR="00C476E5" w:rsidRPr="00FC4870" w:rsidRDefault="00160AD2">
      <w:pPr>
        <w:pStyle w:val="TNormal"/>
        <w:spacing w:after="120" w:line="240" w:lineRule="auto"/>
        <w:ind w:firstLine="567"/>
        <w:rPr>
          <w:szCs w:val="24"/>
        </w:rPr>
      </w:pPr>
      <w:r w:rsidRPr="00FC4870">
        <w:rPr>
          <w:szCs w:val="24"/>
        </w:rPr>
        <w:t xml:space="preserve">O crescimento dos ativos é utilizado sob o pressuposto de que </w:t>
      </w:r>
      <w:r w:rsidR="00CF133B" w:rsidRPr="00FC4870">
        <w:rPr>
          <w:szCs w:val="24"/>
        </w:rPr>
        <w:t xml:space="preserve">o banco pode estar financiando este crescimento por meio de capital de terceiros, aumentando assim a sua alavancagem. </w:t>
      </w:r>
      <w:r w:rsidR="00C476E5" w:rsidRPr="00FC4870">
        <w:rPr>
          <w:szCs w:val="24"/>
        </w:rPr>
        <w:t xml:space="preserve">Tomando por base a teoria do </w:t>
      </w:r>
      <w:proofErr w:type="spellStart"/>
      <w:r w:rsidR="00C476E5" w:rsidRPr="00C04EF6">
        <w:rPr>
          <w:i/>
          <w:szCs w:val="24"/>
        </w:rPr>
        <w:t>pecking</w:t>
      </w:r>
      <w:proofErr w:type="spellEnd"/>
      <w:r w:rsidR="00C476E5" w:rsidRPr="00C04EF6">
        <w:rPr>
          <w:i/>
          <w:szCs w:val="24"/>
        </w:rPr>
        <w:t xml:space="preserve"> </w:t>
      </w:r>
      <w:proofErr w:type="spellStart"/>
      <w:r w:rsidR="00C476E5" w:rsidRPr="00C04EF6">
        <w:rPr>
          <w:i/>
          <w:szCs w:val="24"/>
        </w:rPr>
        <w:t>order</w:t>
      </w:r>
      <w:proofErr w:type="spellEnd"/>
      <w:r w:rsidR="00C476E5" w:rsidRPr="00FC4870">
        <w:rPr>
          <w:szCs w:val="24"/>
        </w:rPr>
        <w:t xml:space="preserve"> (MYERS, 1984; MYERS; MAJLUF, 1984; SHYAM-SUNDER; MYERS, 1999), no caso de um alto crescimento das operações, os lucros retidos poderiam não ser suficientes para financiar as atividades, sendo necessária a emissão de dívida.</w:t>
      </w:r>
      <w:r w:rsidR="00FC1E62" w:rsidRPr="00FC4870">
        <w:rPr>
          <w:szCs w:val="24"/>
        </w:rPr>
        <w:t xml:space="preserve"> As empresas podem também utilizar o crescimento para diversificar suas atividades, reduzindo a correlação entre os fluxos de caixa, diminuindo o risco da empresa e consequentemente obtendo acesso a mais crédito, aumentando o endividamento (JUNIOR; FUNCHAL, 2013).</w:t>
      </w:r>
    </w:p>
    <w:p w14:paraId="6EBA475B" w14:textId="35861334" w:rsidR="00C8253C" w:rsidRPr="00FC4870" w:rsidRDefault="00CF133B" w:rsidP="00CF133B">
      <w:pPr>
        <w:pStyle w:val="TNormal"/>
        <w:spacing w:after="120" w:line="240" w:lineRule="auto"/>
        <w:ind w:firstLine="567"/>
        <w:rPr>
          <w:szCs w:val="24"/>
        </w:rPr>
      </w:pPr>
      <w:r w:rsidRPr="00FC4870">
        <w:rPr>
          <w:szCs w:val="24"/>
        </w:rPr>
        <w:t>Sobre a relação entre Empréstimos e Ativos Totais, um banco estaria mais disposto a captar recursos quando</w:t>
      </w:r>
      <w:r w:rsidRPr="00494F83">
        <w:rPr>
          <w:szCs w:val="24"/>
        </w:rPr>
        <w:t xml:space="preserve"> tivesse planos</w:t>
      </w:r>
      <w:r w:rsidRPr="00FC4870">
        <w:rPr>
          <w:szCs w:val="24"/>
        </w:rPr>
        <w:t xml:space="preserve"> de utiliz</w:t>
      </w:r>
      <w:r w:rsidR="00511B99">
        <w:rPr>
          <w:szCs w:val="24"/>
        </w:rPr>
        <w:t>a</w:t>
      </w:r>
      <w:r w:rsidRPr="00FC4870">
        <w:rPr>
          <w:szCs w:val="24"/>
        </w:rPr>
        <w:t>r</w:t>
      </w:r>
      <w:r w:rsidRPr="00494F83">
        <w:rPr>
          <w:szCs w:val="24"/>
        </w:rPr>
        <w:t xml:space="preserve"> estes</w:t>
      </w:r>
      <w:r w:rsidRPr="00FC4870">
        <w:rPr>
          <w:szCs w:val="24"/>
        </w:rPr>
        <w:t xml:space="preserve"> em suas atividades operacionais.</w:t>
      </w:r>
      <w:r w:rsidR="006418A6" w:rsidRPr="00FC4870">
        <w:rPr>
          <w:szCs w:val="24"/>
        </w:rPr>
        <w:t xml:space="preserve"> </w:t>
      </w:r>
      <w:r w:rsidR="00410FBF" w:rsidRPr="00FC4870">
        <w:rPr>
          <w:szCs w:val="24"/>
        </w:rPr>
        <w:t xml:space="preserve">Neste caso, a teoria do </w:t>
      </w:r>
      <w:proofErr w:type="spellStart"/>
      <w:r w:rsidR="00410FBF" w:rsidRPr="00FC4870">
        <w:rPr>
          <w:i/>
          <w:szCs w:val="24"/>
        </w:rPr>
        <w:t>pecking</w:t>
      </w:r>
      <w:proofErr w:type="spellEnd"/>
      <w:r w:rsidR="00410FBF" w:rsidRPr="00FC4870">
        <w:rPr>
          <w:i/>
          <w:szCs w:val="24"/>
        </w:rPr>
        <w:t xml:space="preserve"> </w:t>
      </w:r>
      <w:proofErr w:type="spellStart"/>
      <w:r w:rsidR="00410FBF" w:rsidRPr="00FC4870">
        <w:rPr>
          <w:i/>
          <w:szCs w:val="24"/>
        </w:rPr>
        <w:t>order</w:t>
      </w:r>
      <w:proofErr w:type="spellEnd"/>
      <w:r w:rsidR="00410FBF" w:rsidRPr="00FC4870">
        <w:rPr>
          <w:szCs w:val="24"/>
        </w:rPr>
        <w:t xml:space="preserve"> sugere que os recursos demandados viriam primeiramente dos lucros retidos, aumentando a capitalização bancária. </w:t>
      </w:r>
      <w:r w:rsidR="006418A6" w:rsidRPr="00FC4870">
        <w:rPr>
          <w:szCs w:val="24"/>
        </w:rPr>
        <w:t xml:space="preserve">Trujillo-Ponce (2012) </w:t>
      </w:r>
      <w:r w:rsidR="000A52E1" w:rsidRPr="00FC4870">
        <w:rPr>
          <w:szCs w:val="24"/>
        </w:rPr>
        <w:t xml:space="preserve">indica que uma maior proporção de Empréstimos </w:t>
      </w:r>
      <w:r w:rsidR="00015F8E" w:rsidRPr="00FC4870">
        <w:rPr>
          <w:szCs w:val="24"/>
        </w:rPr>
        <w:t xml:space="preserve">diminui a liquidez do banco e aumenta o seu risco, em razão da dificuldade que os bancos podem apresentar em </w:t>
      </w:r>
      <w:r w:rsidR="00FE4EF4" w:rsidRPr="00FC4870">
        <w:rPr>
          <w:szCs w:val="24"/>
        </w:rPr>
        <w:t>financiar o crescimento destas atividades.</w:t>
      </w:r>
      <w:r w:rsidR="00125182" w:rsidRPr="00FC4870">
        <w:rPr>
          <w:szCs w:val="24"/>
        </w:rPr>
        <w:t xml:space="preserve"> </w:t>
      </w:r>
    </w:p>
    <w:p w14:paraId="6E11088A" w14:textId="31BF516F" w:rsidR="00125182" w:rsidRPr="00FC4870" w:rsidRDefault="00125182" w:rsidP="00CF133B">
      <w:pPr>
        <w:pStyle w:val="TNormal"/>
        <w:spacing w:after="120" w:line="240" w:lineRule="auto"/>
        <w:ind w:firstLine="567"/>
        <w:rPr>
          <w:szCs w:val="24"/>
        </w:rPr>
      </w:pPr>
      <w:r w:rsidRPr="00FC4870">
        <w:rPr>
          <w:szCs w:val="24"/>
        </w:rPr>
        <w:lastRenderedPageBreak/>
        <w:t>Ao mesmo tempo, o</w:t>
      </w:r>
      <w:r w:rsidR="00C47B2F" w:rsidRPr="00FC4870">
        <w:rPr>
          <w:szCs w:val="24"/>
        </w:rPr>
        <w:t xml:space="preserve">s bancos estarão mais dispostos a se endividar </w:t>
      </w:r>
      <w:r w:rsidRPr="00FC4870">
        <w:rPr>
          <w:szCs w:val="24"/>
        </w:rPr>
        <w:t xml:space="preserve">para financiar suas atividades </w:t>
      </w:r>
      <w:r w:rsidR="00C47B2F" w:rsidRPr="00FC4870">
        <w:rPr>
          <w:szCs w:val="24"/>
        </w:rPr>
        <w:t>se o valor dessa dívida for barato. Dentre os tipos de captação de recursos que os bancos se utilizam, a via de depósitos (tanto à vista como a prazo) pode ser considerada satisfatória por seu baixo custo. Por</w:t>
      </w:r>
      <w:r w:rsidR="00327348" w:rsidRPr="00FC4870">
        <w:rPr>
          <w:szCs w:val="24"/>
        </w:rPr>
        <w:t>ém, o saque de depósitos em massa pode ser fatal para uma instituição, à medida que esta não tem numerário suficiente disponível para todos os seus correntistas.</w:t>
      </w:r>
      <w:r w:rsidRPr="00FC4870">
        <w:rPr>
          <w:szCs w:val="24"/>
        </w:rPr>
        <w:t xml:space="preserve"> Trujillo-Ponce (2012) afirma que o baixo custo desta opção de financiamento pode aumentar a lucratividade bancária. Sendo assim, é esperado que quanto maior a relação entre os depósitos de client</w:t>
      </w:r>
      <w:r w:rsidR="00DD39CE" w:rsidRPr="00FC4870">
        <w:rPr>
          <w:szCs w:val="24"/>
        </w:rPr>
        <w:t>e</w:t>
      </w:r>
      <w:r w:rsidRPr="00FC4870">
        <w:rPr>
          <w:szCs w:val="24"/>
        </w:rPr>
        <w:t xml:space="preserve">s </w:t>
      </w:r>
      <w:r w:rsidR="00DD39CE" w:rsidRPr="00FC4870">
        <w:rPr>
          <w:szCs w:val="24"/>
        </w:rPr>
        <w:t>em relação aos passivos totais, mais propenso o banco estará a captar recursos.</w:t>
      </w:r>
    </w:p>
    <w:p w14:paraId="4590167A" w14:textId="336B74E8" w:rsidR="002F1DD9" w:rsidRPr="00FC4870" w:rsidRDefault="00327348" w:rsidP="00CF133B">
      <w:pPr>
        <w:pStyle w:val="TNormal"/>
        <w:spacing w:after="120" w:line="240" w:lineRule="auto"/>
        <w:ind w:firstLine="567"/>
        <w:rPr>
          <w:szCs w:val="24"/>
        </w:rPr>
      </w:pPr>
      <w:r w:rsidRPr="00FC4870">
        <w:rPr>
          <w:szCs w:val="24"/>
        </w:rPr>
        <w:t xml:space="preserve">Por fim, as variáveis macroeconômicas </w:t>
      </w:r>
      <w:r w:rsidR="00093946" w:rsidRPr="00FC4870">
        <w:rPr>
          <w:szCs w:val="24"/>
        </w:rPr>
        <w:t xml:space="preserve">de crescimento do PIB e taxa de juros </w:t>
      </w:r>
      <w:r w:rsidRPr="00FC4870">
        <w:rPr>
          <w:szCs w:val="24"/>
        </w:rPr>
        <w:t xml:space="preserve">são utilizadas em convergência com </w:t>
      </w:r>
      <w:proofErr w:type="spellStart"/>
      <w:r w:rsidRPr="00FC4870">
        <w:rPr>
          <w:szCs w:val="24"/>
        </w:rPr>
        <w:t>Schaeck</w:t>
      </w:r>
      <w:proofErr w:type="spellEnd"/>
      <w:r w:rsidRPr="00FC4870">
        <w:rPr>
          <w:szCs w:val="24"/>
        </w:rPr>
        <w:t xml:space="preserve"> e </w:t>
      </w:r>
      <w:proofErr w:type="spellStart"/>
      <w:r w:rsidRPr="00FC4870">
        <w:rPr>
          <w:szCs w:val="24"/>
        </w:rPr>
        <w:t>Cihák</w:t>
      </w:r>
      <w:proofErr w:type="spellEnd"/>
      <w:r w:rsidRPr="00FC4870">
        <w:rPr>
          <w:szCs w:val="24"/>
        </w:rPr>
        <w:t xml:space="preserve"> (2012).</w:t>
      </w:r>
      <w:r w:rsidR="00763F5D" w:rsidRPr="00FC4870">
        <w:rPr>
          <w:szCs w:val="24"/>
        </w:rPr>
        <w:t xml:space="preserve"> </w:t>
      </w:r>
      <w:proofErr w:type="spellStart"/>
      <w:r w:rsidR="00763F5D">
        <w:rPr>
          <w:szCs w:val="24"/>
        </w:rPr>
        <w:t>Brewer</w:t>
      </w:r>
      <w:proofErr w:type="spellEnd"/>
      <w:r w:rsidR="00763F5D">
        <w:rPr>
          <w:szCs w:val="24"/>
        </w:rPr>
        <w:t>, Kaufman e Wall</w:t>
      </w:r>
      <w:r w:rsidR="00763F5D" w:rsidRPr="00FC4870">
        <w:rPr>
          <w:szCs w:val="24"/>
        </w:rPr>
        <w:t xml:space="preserve"> (2008) afirmam que o crescimento econômico gera oportunidades de investimento para os bancos, onde estes reterão mais lucros para aproveitar essas oportunidades.</w:t>
      </w:r>
      <w:r w:rsidR="0022058B" w:rsidRPr="00FC4870">
        <w:rPr>
          <w:szCs w:val="24"/>
        </w:rPr>
        <w:t xml:space="preserve"> </w:t>
      </w:r>
      <w:r w:rsidR="002F1DD9" w:rsidRPr="00FC4870">
        <w:rPr>
          <w:szCs w:val="24"/>
        </w:rPr>
        <w:t>Jucá (2011) lista ainda que o crescimento do PIB terá uma relação positiva com o endividamento, onde em épocas de baixo crescimento econômico, os bancos estarão mais propensos a reter capital para se proteger de possíveis choques econômicos, e não o contrário.</w:t>
      </w:r>
    </w:p>
    <w:p w14:paraId="703D3360" w14:textId="51974472" w:rsidR="00D64982" w:rsidRPr="00FC4870" w:rsidRDefault="00C04EF6" w:rsidP="00FC4870">
      <w:pPr>
        <w:pStyle w:val="TNormal"/>
        <w:spacing w:after="120" w:line="240" w:lineRule="auto"/>
        <w:ind w:firstLine="567"/>
        <w:rPr>
          <w:szCs w:val="24"/>
        </w:rPr>
      </w:pPr>
      <w:r w:rsidRPr="00FC4870">
        <w:rPr>
          <w:szCs w:val="24"/>
        </w:rPr>
        <w:t xml:space="preserve">O aumento das taxas de juros </w:t>
      </w:r>
      <w:r>
        <w:rPr>
          <w:szCs w:val="24"/>
        </w:rPr>
        <w:t>eleva</w:t>
      </w:r>
      <w:r w:rsidR="000E5031" w:rsidRPr="00FC4870">
        <w:rPr>
          <w:szCs w:val="24"/>
        </w:rPr>
        <w:t xml:space="preserve"> os custos relacionados a uma possível falência. Ahmad, </w:t>
      </w:r>
      <w:proofErr w:type="spellStart"/>
      <w:r w:rsidR="000E5031" w:rsidRPr="00FC4870">
        <w:rPr>
          <w:szCs w:val="24"/>
        </w:rPr>
        <w:t>Ariff</w:t>
      </w:r>
      <w:proofErr w:type="spellEnd"/>
      <w:r w:rsidR="000E5031" w:rsidRPr="00FC4870">
        <w:rPr>
          <w:szCs w:val="24"/>
        </w:rPr>
        <w:t xml:space="preserve"> e </w:t>
      </w:r>
      <w:proofErr w:type="spellStart"/>
      <w:r w:rsidR="000E5031" w:rsidRPr="00FC4870">
        <w:rPr>
          <w:szCs w:val="24"/>
        </w:rPr>
        <w:t>Skully</w:t>
      </w:r>
      <w:proofErr w:type="spellEnd"/>
      <w:r w:rsidR="000E5031" w:rsidRPr="00FC4870">
        <w:rPr>
          <w:szCs w:val="24"/>
        </w:rPr>
        <w:t xml:space="preserve"> (2008) argumentam que o para se proteger destes custos, o banco estará mais propenso a reter mais capital na sua estrutura.</w:t>
      </w:r>
      <w:r w:rsidR="002F1DD9" w:rsidRPr="00FC4870">
        <w:rPr>
          <w:szCs w:val="24"/>
        </w:rPr>
        <w:t xml:space="preserve"> </w:t>
      </w:r>
      <w:r w:rsidR="00D15AC0" w:rsidRPr="00FC4870">
        <w:rPr>
          <w:szCs w:val="24"/>
        </w:rPr>
        <w:t>Após a descrição das variáveis utilizadas no modelo</w:t>
      </w:r>
      <w:r w:rsidR="00D64982" w:rsidRPr="00FC4870">
        <w:rPr>
          <w:szCs w:val="24"/>
        </w:rPr>
        <w:t>, é montada a equação 1, que será a base para a análise dos resultados da pesquisa:</w:t>
      </w:r>
    </w:p>
    <w:p w14:paraId="6DB1F03F" w14:textId="52184BF2" w:rsidR="00D64982" w:rsidRPr="00E36219" w:rsidRDefault="00E42801" w:rsidP="00E36219">
      <w:pPr>
        <w:pStyle w:val="TNormal"/>
        <w:spacing w:before="240" w:after="120" w:line="240" w:lineRule="auto"/>
        <w:ind w:firstLine="567"/>
        <w:rPr>
          <w:sz w:val="20"/>
          <w:lang w:val="en-US"/>
        </w:rPr>
      </w:pPr>
      <m:oMathPara>
        <m:oMathParaPr>
          <m:jc m:val="right"/>
        </m:oMathParaPr>
        <m:oMath>
          <m:f>
            <m:fPr>
              <m:ctrlPr>
                <w:rPr>
                  <w:rFonts w:ascii="Cambria Math" w:hAnsi="Cambria Math"/>
                  <w:i/>
                  <w:sz w:val="20"/>
                  <w:lang w:val="en-US"/>
                </w:rPr>
              </m:ctrlPr>
            </m:fPr>
            <m:num>
              <m:r>
                <w:rPr>
                  <w:rFonts w:ascii="Cambria Math" w:hAnsi="Cambria Math"/>
                  <w:sz w:val="20"/>
                  <w:lang w:val="en-US"/>
                </w:rPr>
                <m:t>D</m:t>
              </m:r>
            </m:num>
            <m:den>
              <m:r>
                <w:rPr>
                  <w:rFonts w:ascii="Cambria Math" w:hAnsi="Cambria Math"/>
                  <w:sz w:val="20"/>
                  <w:lang w:val="en-US"/>
                </w:rPr>
                <m:t>A</m:t>
              </m:r>
            </m:den>
          </m:f>
          <m:r>
            <w:rPr>
              <w:rFonts w:ascii="Cambria Math" w:hAnsi="Cambria Math"/>
              <w:sz w:val="20"/>
              <w:lang w:val="en-US"/>
            </w:rPr>
            <m:t xml:space="preserve">= α+ </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1</m:t>
              </m:r>
            </m:sub>
          </m:sSub>
          <m:r>
            <w:rPr>
              <w:rFonts w:ascii="Cambria Math" w:hAnsi="Cambria Math"/>
              <w:sz w:val="20"/>
              <w:lang w:val="en-US"/>
            </w:rPr>
            <m:t xml:space="preserve">*ROA + </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2</m:t>
              </m:r>
            </m:sub>
          </m:sSub>
          <m:r>
            <w:rPr>
              <w:rFonts w:ascii="Cambria Math" w:hAnsi="Cambria Math"/>
              <w:sz w:val="20"/>
              <w:lang w:val="en-US"/>
            </w:rPr>
            <m:t xml:space="preserve">*LogAtivo+ </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3</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Crescimento</m:t>
              </m:r>
            </m:e>
            <m:sub>
              <m:r>
                <w:rPr>
                  <w:rFonts w:ascii="Cambria Math" w:hAnsi="Cambria Math"/>
                  <w:sz w:val="20"/>
                  <w:lang w:val="en-US"/>
                </w:rPr>
                <m:t>ATIVOS</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4</m:t>
              </m:r>
            </m:sub>
          </m:sSub>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Empréstimos</m:t>
              </m:r>
            </m:num>
            <m:den>
              <m:r>
                <w:rPr>
                  <w:rFonts w:ascii="Cambria Math" w:hAnsi="Cambria Math"/>
                  <w:sz w:val="20"/>
                  <w:lang w:val="en-US"/>
                </w:rPr>
                <m:t>Ativos Totais</m:t>
              </m:r>
            </m:den>
          </m:f>
          <m:r>
            <w:rPr>
              <w:rFonts w:ascii="Cambria Math" w:hAnsi="Cambria Math"/>
              <w:sz w:val="20"/>
              <w:lang w:val="en-US"/>
            </w:rPr>
            <m:t xml:space="preserve">+ </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5</m:t>
              </m:r>
            </m:sub>
          </m:sSub>
          <m:r>
            <w:rPr>
              <w:rFonts w:ascii="Cambria Math" w:hAnsi="Cambria Math"/>
              <w:sz w:val="20"/>
              <w:lang w:val="en-US"/>
            </w:rPr>
            <m:t>*</m:t>
          </m:r>
          <m:f>
            <m:fPr>
              <m:ctrlPr>
                <w:rPr>
                  <w:rFonts w:ascii="Cambria Math" w:hAnsi="Cambria Math"/>
                  <w:i/>
                  <w:sz w:val="20"/>
                  <w:lang w:val="en-US"/>
                </w:rPr>
              </m:ctrlPr>
            </m:fPr>
            <m:num>
              <m:r>
                <w:rPr>
                  <w:rFonts w:ascii="Cambria Math" w:hAnsi="Cambria Math"/>
                  <w:sz w:val="20"/>
                  <w:lang w:val="en-US"/>
                </w:rPr>
                <m:t>Depósitos</m:t>
              </m:r>
            </m:num>
            <m:den>
              <m:r>
                <w:rPr>
                  <w:rFonts w:ascii="Cambria Math" w:hAnsi="Cambria Math"/>
                  <w:sz w:val="20"/>
                  <w:lang w:val="en-US"/>
                </w:rPr>
                <m:t>Passivos</m:t>
              </m:r>
            </m:den>
          </m:f>
          <m:r>
            <w:rPr>
              <w:rFonts w:ascii="Cambria Math" w:hAnsi="Cambria Math"/>
              <w:sz w:val="20"/>
              <w:lang w:val="en-US"/>
            </w:rPr>
            <m:t xml:space="preserve">+ </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6</m:t>
              </m:r>
            </m:sub>
          </m:sSub>
          <m:r>
            <w:rPr>
              <w:rFonts w:ascii="Cambria Math" w:hAnsi="Cambria Math"/>
              <w:sz w:val="20"/>
              <w:lang w:val="en-US"/>
            </w:rPr>
            <m:t xml:space="preserve">*PIB+ </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7</m:t>
              </m:r>
            </m:sub>
          </m:sSub>
          <m:r>
            <w:rPr>
              <w:rFonts w:ascii="Cambria Math" w:hAnsi="Cambria Math"/>
              <w:sz w:val="20"/>
              <w:lang w:val="en-US"/>
            </w:rPr>
            <m:t>*IPCA+</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8</m:t>
              </m:r>
            </m:sub>
          </m:sSub>
          <m:r>
            <w:rPr>
              <w:rFonts w:ascii="Cambria Math" w:hAnsi="Cambria Math"/>
              <w:sz w:val="20"/>
              <w:lang w:val="en-US"/>
            </w:rPr>
            <m:t xml:space="preserve">*SELIC+ </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9</m:t>
              </m:r>
            </m:sub>
          </m:sSub>
          <m:r>
            <w:rPr>
              <w:rFonts w:ascii="Cambria Math" w:hAnsi="Cambria Math"/>
              <w:sz w:val="20"/>
              <w:lang w:val="en-US"/>
            </w:rPr>
            <m:t>*BII+</m:t>
          </m:r>
          <m:sSub>
            <m:sSubPr>
              <m:ctrlPr>
                <w:rPr>
                  <w:rFonts w:ascii="Cambria Math" w:hAnsi="Cambria Math"/>
                  <w:i/>
                  <w:sz w:val="20"/>
                  <w:lang w:val="en-US"/>
                </w:rPr>
              </m:ctrlPr>
            </m:sSubPr>
            <m:e>
              <m:r>
                <w:rPr>
                  <w:rFonts w:ascii="Cambria Math" w:hAnsi="Cambria Math"/>
                  <w:sz w:val="20"/>
                  <w:lang w:val="en-US"/>
                </w:rPr>
                <m:t>β</m:t>
              </m:r>
            </m:e>
            <m:sub>
              <m:r>
                <w:rPr>
                  <w:rFonts w:ascii="Cambria Math" w:hAnsi="Cambria Math"/>
                  <w:sz w:val="20"/>
                  <w:lang w:val="en-US"/>
                </w:rPr>
                <m:t>10</m:t>
              </m:r>
            </m:sub>
          </m:sSub>
          <m:r>
            <w:rPr>
              <w:rFonts w:ascii="Cambria Math" w:hAnsi="Cambria Math"/>
              <w:sz w:val="20"/>
              <w:lang w:val="en-US"/>
            </w:rPr>
            <m:t>*BIII</m:t>
          </m:r>
        </m:oMath>
      </m:oMathPara>
    </w:p>
    <w:p w14:paraId="55FC9FDD" w14:textId="53AEA6DF" w:rsidR="00D64982" w:rsidRPr="00FC4870" w:rsidRDefault="00D64982" w:rsidP="00D64982">
      <w:pPr>
        <w:pStyle w:val="TNormal"/>
        <w:spacing w:after="120" w:line="240" w:lineRule="auto"/>
        <w:ind w:firstLine="567"/>
        <w:jc w:val="right"/>
        <w:rPr>
          <w:sz w:val="20"/>
        </w:rPr>
      </w:pPr>
      <w:r w:rsidRPr="00FC4870">
        <w:rPr>
          <w:sz w:val="20"/>
        </w:rPr>
        <w:t>(1)</w:t>
      </w:r>
    </w:p>
    <w:p w14:paraId="6E4490E6" w14:textId="4FC896DA" w:rsidR="00D64982" w:rsidRPr="00D64982" w:rsidRDefault="005436CA" w:rsidP="00D64982">
      <w:pPr>
        <w:autoSpaceDE w:val="0"/>
        <w:autoSpaceDN w:val="0"/>
        <w:adjustRightInd w:val="0"/>
        <w:spacing w:after="12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As variáveis BII e BIII representam variáveis </w:t>
      </w:r>
      <w:proofErr w:type="spellStart"/>
      <w:r w:rsidRPr="000C3FCF">
        <w:rPr>
          <w:rFonts w:ascii="Times New Roman" w:hAnsi="Times New Roman" w:cs="Times New Roman"/>
          <w:i/>
          <w:iCs/>
          <w:sz w:val="24"/>
          <w:szCs w:val="24"/>
        </w:rPr>
        <w:t>dummies</w:t>
      </w:r>
      <w:proofErr w:type="spellEnd"/>
      <w:r>
        <w:rPr>
          <w:rFonts w:ascii="Times New Roman" w:hAnsi="Times New Roman" w:cs="Times New Roman"/>
          <w:iCs/>
          <w:sz w:val="24"/>
          <w:szCs w:val="24"/>
        </w:rPr>
        <w:t xml:space="preserve"> representativas do acordo de Basileia para mensurar seus efeitos sobre o endividamento das instituições financeiras</w:t>
      </w:r>
      <w:r w:rsidR="000027B2">
        <w:rPr>
          <w:rFonts w:ascii="Times New Roman" w:hAnsi="Times New Roman" w:cs="Times New Roman"/>
          <w:iCs/>
          <w:sz w:val="24"/>
          <w:szCs w:val="24"/>
        </w:rPr>
        <w:t>, onde são esperados sinais negativos em razão dos acordos de capital objetivarem restringir o alto endividamento destas instituições</w:t>
      </w:r>
      <w:r>
        <w:rPr>
          <w:rFonts w:ascii="Times New Roman" w:hAnsi="Times New Roman" w:cs="Times New Roman"/>
          <w:iCs/>
          <w:sz w:val="24"/>
          <w:szCs w:val="24"/>
        </w:rPr>
        <w:t xml:space="preserve">. </w:t>
      </w:r>
      <w:r w:rsidR="003E272B">
        <w:rPr>
          <w:rFonts w:ascii="Times New Roman" w:hAnsi="Times New Roman" w:cs="Times New Roman"/>
          <w:iCs/>
          <w:sz w:val="24"/>
          <w:szCs w:val="24"/>
        </w:rPr>
        <w:t xml:space="preserve">A partir deste modelo será inferido o efeito que </w:t>
      </w:r>
      <w:r w:rsidR="00B052F5">
        <w:rPr>
          <w:rFonts w:ascii="Times New Roman" w:hAnsi="Times New Roman" w:cs="Times New Roman"/>
          <w:iCs/>
          <w:sz w:val="24"/>
          <w:szCs w:val="24"/>
        </w:rPr>
        <w:t>a inflação tem</w:t>
      </w:r>
      <w:r w:rsidR="003E272B">
        <w:rPr>
          <w:rFonts w:ascii="Times New Roman" w:hAnsi="Times New Roman" w:cs="Times New Roman"/>
          <w:iCs/>
          <w:sz w:val="24"/>
          <w:szCs w:val="24"/>
        </w:rPr>
        <w:t xml:space="preserve"> sobre o endividamento bancário.</w:t>
      </w:r>
    </w:p>
    <w:p w14:paraId="4601A1E8" w14:textId="1B31D2DA" w:rsidR="006D00F8" w:rsidRPr="00B86865" w:rsidRDefault="00514782" w:rsidP="0010012C">
      <w:pPr>
        <w:autoSpaceDE w:val="0"/>
        <w:autoSpaceDN w:val="0"/>
        <w:adjustRightInd w:val="0"/>
        <w:spacing w:after="120" w:line="240" w:lineRule="auto"/>
        <w:jc w:val="both"/>
        <w:rPr>
          <w:rFonts w:ascii="Times New Roman" w:hAnsi="Times New Roman" w:cs="Times New Roman"/>
          <w:b/>
          <w:iCs/>
          <w:sz w:val="24"/>
          <w:szCs w:val="24"/>
        </w:rPr>
      </w:pPr>
      <w:r w:rsidRPr="00B86865">
        <w:rPr>
          <w:rFonts w:ascii="Times New Roman" w:hAnsi="Times New Roman" w:cs="Times New Roman"/>
          <w:b/>
          <w:iCs/>
          <w:sz w:val="24"/>
          <w:szCs w:val="24"/>
        </w:rPr>
        <w:t>3.4 TESTE DE ROBUSTEZ</w:t>
      </w:r>
    </w:p>
    <w:p w14:paraId="47AD0FCF" w14:textId="77777777" w:rsidR="006D00F8" w:rsidRPr="00B86865" w:rsidRDefault="006D00F8" w:rsidP="0010012C">
      <w:pPr>
        <w:autoSpaceDE w:val="0"/>
        <w:autoSpaceDN w:val="0"/>
        <w:adjustRightInd w:val="0"/>
        <w:spacing w:after="120" w:line="240" w:lineRule="auto"/>
        <w:ind w:firstLine="567"/>
        <w:jc w:val="both"/>
        <w:rPr>
          <w:rFonts w:ascii="Times New Roman" w:hAnsi="Times New Roman" w:cs="Times New Roman"/>
          <w:iCs/>
          <w:sz w:val="24"/>
          <w:szCs w:val="24"/>
        </w:rPr>
      </w:pPr>
      <w:r w:rsidRPr="00B86865">
        <w:rPr>
          <w:rFonts w:ascii="Times New Roman" w:hAnsi="Times New Roman" w:cs="Times New Roman"/>
          <w:iCs/>
          <w:sz w:val="24"/>
          <w:szCs w:val="24"/>
        </w:rPr>
        <w:t>Para analisar o</w:t>
      </w:r>
      <w:r>
        <w:rPr>
          <w:rFonts w:ascii="Times New Roman" w:hAnsi="Times New Roman" w:cs="Times New Roman"/>
          <w:iCs/>
          <w:sz w:val="24"/>
          <w:szCs w:val="24"/>
        </w:rPr>
        <w:t xml:space="preserve"> efeito da inflação no endividamento das companhias utilizou-se</w:t>
      </w:r>
      <w:r w:rsidRPr="00B86865">
        <w:rPr>
          <w:rFonts w:ascii="Times New Roman" w:hAnsi="Times New Roman" w:cs="Times New Roman"/>
          <w:iCs/>
          <w:sz w:val="24"/>
          <w:szCs w:val="24"/>
        </w:rPr>
        <w:t xml:space="preserve"> </w:t>
      </w:r>
      <w:r>
        <w:rPr>
          <w:rFonts w:ascii="Times New Roman" w:hAnsi="Times New Roman" w:cs="Times New Roman"/>
          <w:iCs/>
          <w:sz w:val="24"/>
          <w:szCs w:val="24"/>
        </w:rPr>
        <w:t>d</w:t>
      </w:r>
      <w:r w:rsidRPr="00B86865">
        <w:rPr>
          <w:rFonts w:ascii="Times New Roman" w:hAnsi="Times New Roman" w:cs="Times New Roman"/>
          <w:iCs/>
          <w:sz w:val="24"/>
          <w:szCs w:val="24"/>
        </w:rPr>
        <w:t xml:space="preserve">o modelo de regressão com dados em painel. </w:t>
      </w:r>
      <w:r>
        <w:rPr>
          <w:rFonts w:ascii="Times New Roman" w:hAnsi="Times New Roman" w:cs="Times New Roman"/>
          <w:iCs/>
          <w:sz w:val="24"/>
          <w:szCs w:val="24"/>
        </w:rPr>
        <w:t xml:space="preserve">Foram realizados </w:t>
      </w:r>
      <w:r w:rsidRPr="00B86865">
        <w:rPr>
          <w:rFonts w:ascii="Times New Roman" w:hAnsi="Times New Roman" w:cs="Times New Roman"/>
          <w:iCs/>
          <w:sz w:val="24"/>
          <w:szCs w:val="24"/>
        </w:rPr>
        <w:t xml:space="preserve">testes estatísticos para verificar se a estimação dos modelos se daria por </w:t>
      </w:r>
      <w:proofErr w:type="spellStart"/>
      <w:r w:rsidRPr="00B86865">
        <w:rPr>
          <w:rFonts w:ascii="Times New Roman" w:hAnsi="Times New Roman" w:cs="Times New Roman"/>
          <w:i/>
          <w:iCs/>
          <w:sz w:val="24"/>
          <w:szCs w:val="24"/>
        </w:rPr>
        <w:t>Pooled</w:t>
      </w:r>
      <w:proofErr w:type="spellEnd"/>
      <w:r w:rsidRPr="00B86865">
        <w:rPr>
          <w:rFonts w:ascii="Times New Roman" w:hAnsi="Times New Roman" w:cs="Times New Roman"/>
          <w:i/>
          <w:iCs/>
          <w:sz w:val="24"/>
          <w:szCs w:val="24"/>
        </w:rPr>
        <w:t xml:space="preserve"> Ordinary </w:t>
      </w:r>
      <w:proofErr w:type="spellStart"/>
      <w:r w:rsidRPr="00B86865">
        <w:rPr>
          <w:rFonts w:ascii="Times New Roman" w:hAnsi="Times New Roman" w:cs="Times New Roman"/>
          <w:i/>
          <w:iCs/>
          <w:sz w:val="24"/>
          <w:szCs w:val="24"/>
        </w:rPr>
        <w:t>Least</w:t>
      </w:r>
      <w:proofErr w:type="spellEnd"/>
      <w:r w:rsidRPr="00B86865">
        <w:rPr>
          <w:rFonts w:ascii="Times New Roman" w:hAnsi="Times New Roman" w:cs="Times New Roman"/>
          <w:i/>
          <w:iCs/>
          <w:sz w:val="24"/>
          <w:szCs w:val="24"/>
        </w:rPr>
        <w:t xml:space="preserve"> </w:t>
      </w:r>
      <w:proofErr w:type="spellStart"/>
      <w:r w:rsidRPr="00B86865">
        <w:rPr>
          <w:rFonts w:ascii="Times New Roman" w:hAnsi="Times New Roman" w:cs="Times New Roman"/>
          <w:i/>
          <w:iCs/>
          <w:sz w:val="24"/>
          <w:szCs w:val="24"/>
        </w:rPr>
        <w:t>Squares</w:t>
      </w:r>
      <w:proofErr w:type="spellEnd"/>
      <w:r w:rsidRPr="00B86865">
        <w:rPr>
          <w:rFonts w:ascii="Times New Roman" w:hAnsi="Times New Roman" w:cs="Times New Roman"/>
          <w:i/>
          <w:iCs/>
          <w:sz w:val="24"/>
          <w:szCs w:val="24"/>
        </w:rPr>
        <w:t xml:space="preserve"> </w:t>
      </w:r>
      <w:r w:rsidRPr="00B86865">
        <w:rPr>
          <w:rFonts w:ascii="Times New Roman" w:hAnsi="Times New Roman" w:cs="Times New Roman"/>
          <w:iCs/>
          <w:sz w:val="24"/>
          <w:szCs w:val="24"/>
        </w:rPr>
        <w:t xml:space="preserve">(POLS), efeitos aleatórios ou efeitos fixos para os dois grupos analisados (painel balanceado e painel desbalanceado). Inicialmente, foi utilizado o teste de </w:t>
      </w:r>
      <w:r w:rsidRPr="00B86865">
        <w:rPr>
          <w:rFonts w:ascii="Times New Roman" w:hAnsi="Times New Roman" w:cs="Times New Roman"/>
          <w:i/>
          <w:iCs/>
          <w:sz w:val="24"/>
          <w:szCs w:val="24"/>
        </w:rPr>
        <w:t>Breusch-Pagan</w:t>
      </w:r>
      <w:r w:rsidRPr="00B86865">
        <w:rPr>
          <w:rFonts w:ascii="Times New Roman" w:hAnsi="Times New Roman" w:cs="Times New Roman"/>
          <w:iCs/>
          <w:sz w:val="24"/>
          <w:szCs w:val="24"/>
        </w:rPr>
        <w:t>, para analisar a estimação por POLS ou efeitos aleatórios, rejeitando a hipótese nula de adequação do modelo por estimadores por POLS.</w:t>
      </w:r>
    </w:p>
    <w:p w14:paraId="55445077" w14:textId="77777777" w:rsidR="006D00F8" w:rsidRPr="006B1DFB" w:rsidRDefault="006D00F8" w:rsidP="0010012C">
      <w:pPr>
        <w:autoSpaceDE w:val="0"/>
        <w:autoSpaceDN w:val="0"/>
        <w:adjustRightInd w:val="0"/>
        <w:spacing w:after="12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Subsequentemente</w:t>
      </w:r>
      <w:r w:rsidRPr="00B86865">
        <w:rPr>
          <w:rFonts w:ascii="Times New Roman" w:hAnsi="Times New Roman" w:cs="Times New Roman"/>
          <w:iCs/>
          <w:sz w:val="24"/>
          <w:szCs w:val="24"/>
        </w:rPr>
        <w:t xml:space="preserve">, mediante o teste de </w:t>
      </w:r>
      <w:r w:rsidRPr="00B86865">
        <w:rPr>
          <w:rFonts w:ascii="Times New Roman" w:hAnsi="Times New Roman" w:cs="Times New Roman"/>
          <w:i/>
          <w:iCs/>
          <w:sz w:val="24"/>
          <w:szCs w:val="24"/>
        </w:rPr>
        <w:t>Chow</w:t>
      </w:r>
      <w:r w:rsidRPr="00B86865">
        <w:rPr>
          <w:rFonts w:ascii="Times New Roman" w:hAnsi="Times New Roman" w:cs="Times New Roman"/>
          <w:iCs/>
          <w:sz w:val="24"/>
          <w:szCs w:val="24"/>
        </w:rPr>
        <w:t xml:space="preserve">, verificou a adequação do modelo para estimadores por efeitos fixos e POLS, onde o teste rejeitou a hipótese nula para estimação por modelo POLS. Por último, foi realizado o teste de </w:t>
      </w:r>
      <w:r w:rsidRPr="00B86865">
        <w:rPr>
          <w:rFonts w:ascii="Times New Roman" w:hAnsi="Times New Roman" w:cs="Times New Roman"/>
          <w:i/>
          <w:iCs/>
          <w:sz w:val="24"/>
          <w:szCs w:val="24"/>
        </w:rPr>
        <w:t>Hausman</w:t>
      </w:r>
      <w:r w:rsidRPr="00B86865">
        <w:rPr>
          <w:rFonts w:ascii="Times New Roman" w:hAnsi="Times New Roman" w:cs="Times New Roman"/>
          <w:iCs/>
          <w:sz w:val="24"/>
          <w:szCs w:val="24"/>
        </w:rPr>
        <w:t xml:space="preserve"> para verificar se a estimação seria por efeitos aleatórios ou fixos, sendo rejeitada a hipótese nula de consistência dos estimadores por efeitos aleatórios. Com isto, os modelos empregados foram estimados com </w:t>
      </w:r>
      <w:r w:rsidRPr="006B1DFB">
        <w:rPr>
          <w:rFonts w:ascii="Times New Roman" w:hAnsi="Times New Roman" w:cs="Times New Roman"/>
          <w:iCs/>
          <w:sz w:val="24"/>
          <w:szCs w:val="24"/>
        </w:rPr>
        <w:t>dados em painel com efeitos fixos.</w:t>
      </w:r>
    </w:p>
    <w:p w14:paraId="38CFBE05" w14:textId="10D76EA7" w:rsidR="006D00F8" w:rsidRPr="00B86865" w:rsidRDefault="006D00F8" w:rsidP="0010012C">
      <w:pPr>
        <w:autoSpaceDE w:val="0"/>
        <w:autoSpaceDN w:val="0"/>
        <w:adjustRightInd w:val="0"/>
        <w:spacing w:after="120" w:line="240" w:lineRule="auto"/>
        <w:ind w:firstLine="567"/>
        <w:jc w:val="both"/>
        <w:rPr>
          <w:rFonts w:ascii="Times New Roman" w:eastAsiaTheme="minorEastAsia" w:hAnsi="Times New Roman" w:cs="Times New Roman"/>
          <w:sz w:val="24"/>
          <w:szCs w:val="24"/>
          <w:lang w:eastAsia="pt-BR"/>
        </w:rPr>
      </w:pPr>
      <w:r w:rsidRPr="006B1DFB">
        <w:rPr>
          <w:rFonts w:ascii="Times New Roman" w:hAnsi="Times New Roman" w:cs="Times New Roman"/>
          <w:iCs/>
          <w:sz w:val="24"/>
          <w:szCs w:val="24"/>
        </w:rPr>
        <w:t xml:space="preserve">Adicionalmente, para se diminuir o efeito de </w:t>
      </w:r>
      <w:r w:rsidRPr="006B1DFB">
        <w:rPr>
          <w:rFonts w:ascii="Times New Roman" w:hAnsi="Times New Roman" w:cs="Times New Roman"/>
          <w:i/>
          <w:iCs/>
          <w:sz w:val="24"/>
          <w:szCs w:val="24"/>
        </w:rPr>
        <w:t>outliers</w:t>
      </w:r>
      <w:r w:rsidRPr="006B1DFB">
        <w:rPr>
          <w:rFonts w:ascii="Times New Roman" w:hAnsi="Times New Roman" w:cs="Times New Roman"/>
          <w:iCs/>
          <w:sz w:val="24"/>
          <w:szCs w:val="24"/>
        </w:rPr>
        <w:t xml:space="preserve"> na amostra, foi utilizada a técnica de </w:t>
      </w:r>
      <w:r w:rsidRPr="006B1DFB">
        <w:rPr>
          <w:rFonts w:ascii="Times New Roman" w:hAnsi="Times New Roman" w:cs="Times New Roman"/>
          <w:i/>
          <w:iCs/>
          <w:sz w:val="24"/>
          <w:szCs w:val="24"/>
        </w:rPr>
        <w:t>Winsor</w:t>
      </w:r>
      <w:r w:rsidRPr="006B1DFB">
        <w:rPr>
          <w:rFonts w:ascii="Times New Roman" w:hAnsi="Times New Roman" w:cs="Times New Roman"/>
          <w:iCs/>
          <w:sz w:val="24"/>
          <w:szCs w:val="24"/>
        </w:rPr>
        <w:t xml:space="preserve"> para </w:t>
      </w:r>
      <w:r w:rsidRPr="006B1DFB">
        <w:rPr>
          <w:rFonts w:ascii="Times New Roman" w:hAnsi="Times New Roman" w:cs="Times New Roman"/>
          <w:i/>
          <w:iCs/>
          <w:sz w:val="24"/>
          <w:szCs w:val="24"/>
        </w:rPr>
        <w:t>outliers</w:t>
      </w:r>
      <w:r w:rsidRPr="006B1DFB">
        <w:rPr>
          <w:rFonts w:ascii="Times New Roman" w:hAnsi="Times New Roman" w:cs="Times New Roman"/>
          <w:iCs/>
          <w:sz w:val="24"/>
          <w:szCs w:val="24"/>
        </w:rPr>
        <w:t>, sendo as variáveis</w:t>
      </w:r>
      <w:r w:rsidR="006B1DFB" w:rsidRPr="006B1DFB">
        <w:rPr>
          <w:rFonts w:ascii="Times New Roman" w:hAnsi="Times New Roman" w:cs="Times New Roman"/>
          <w:iCs/>
          <w:sz w:val="24"/>
          <w:szCs w:val="24"/>
        </w:rPr>
        <w:t xml:space="preserve"> representativas do endividamento, lucratividade e crescimento dos ativos</w:t>
      </w:r>
      <w:r w:rsidRPr="006B1DFB">
        <w:rPr>
          <w:rFonts w:ascii="Times New Roman" w:eastAsiaTheme="minorEastAsia" w:hAnsi="Times New Roman" w:cs="Times New Roman"/>
          <w:sz w:val="24"/>
          <w:szCs w:val="24"/>
          <w:lang w:eastAsia="pt-BR"/>
        </w:rPr>
        <w:t xml:space="preserve"> </w:t>
      </w:r>
      <w:r w:rsidRPr="006B1DFB">
        <w:rPr>
          <w:rFonts w:ascii="Times New Roman" w:eastAsiaTheme="minorEastAsia" w:hAnsi="Times New Roman" w:cs="Times New Roman"/>
          <w:i/>
          <w:sz w:val="24"/>
          <w:szCs w:val="24"/>
          <w:lang w:eastAsia="pt-BR"/>
        </w:rPr>
        <w:t>winsorizadas</w:t>
      </w:r>
      <w:r w:rsidRPr="006B1DFB">
        <w:rPr>
          <w:rFonts w:ascii="Times New Roman" w:eastAsiaTheme="minorEastAsia" w:hAnsi="Times New Roman" w:cs="Times New Roman"/>
          <w:sz w:val="24"/>
          <w:szCs w:val="24"/>
          <w:lang w:eastAsia="pt-BR"/>
        </w:rPr>
        <w:t xml:space="preserve"> a 1%. O efeito desta técnica pode ser visualizado na Tabela 2, onde </w:t>
      </w:r>
      <w:r w:rsidR="006B1DFB">
        <w:rPr>
          <w:rFonts w:ascii="Times New Roman" w:eastAsiaTheme="minorEastAsia" w:hAnsi="Times New Roman" w:cs="Times New Roman"/>
          <w:sz w:val="24"/>
          <w:szCs w:val="24"/>
          <w:lang w:eastAsia="pt-BR"/>
        </w:rPr>
        <w:t xml:space="preserve">é apresentada </w:t>
      </w:r>
      <w:r w:rsidRPr="006B1DFB">
        <w:rPr>
          <w:rFonts w:ascii="Times New Roman" w:eastAsiaTheme="minorEastAsia" w:hAnsi="Times New Roman" w:cs="Times New Roman"/>
          <w:sz w:val="24"/>
          <w:szCs w:val="24"/>
          <w:lang w:eastAsia="pt-BR"/>
        </w:rPr>
        <w:t>a estat</w:t>
      </w:r>
      <w:r w:rsidR="006B1DFB">
        <w:rPr>
          <w:rFonts w:ascii="Times New Roman" w:eastAsiaTheme="minorEastAsia" w:hAnsi="Times New Roman" w:cs="Times New Roman"/>
          <w:sz w:val="24"/>
          <w:szCs w:val="24"/>
          <w:lang w:eastAsia="pt-BR"/>
        </w:rPr>
        <w:t>ística descritiva</w:t>
      </w:r>
      <w:r w:rsidRPr="006B1DFB">
        <w:rPr>
          <w:rFonts w:ascii="Times New Roman" w:eastAsiaTheme="minorEastAsia" w:hAnsi="Times New Roman" w:cs="Times New Roman"/>
          <w:sz w:val="24"/>
          <w:szCs w:val="24"/>
          <w:lang w:eastAsia="pt-BR"/>
        </w:rPr>
        <w:t>.</w:t>
      </w:r>
    </w:p>
    <w:p w14:paraId="3196118A" w14:textId="5E55121E" w:rsidR="006D00F8" w:rsidRDefault="006D00F8" w:rsidP="0010012C">
      <w:pPr>
        <w:autoSpaceDE w:val="0"/>
        <w:autoSpaceDN w:val="0"/>
        <w:adjustRightInd w:val="0"/>
        <w:spacing w:after="120" w:line="240" w:lineRule="auto"/>
        <w:ind w:firstLine="567"/>
        <w:jc w:val="both"/>
        <w:rPr>
          <w:rFonts w:ascii="Times New Roman" w:hAnsi="Times New Roman" w:cs="Times New Roman"/>
          <w:b/>
          <w:sz w:val="24"/>
          <w:szCs w:val="24"/>
        </w:rPr>
      </w:pPr>
      <w:r w:rsidRPr="00B86865">
        <w:rPr>
          <w:rFonts w:ascii="Times New Roman" w:eastAsiaTheme="minorEastAsia" w:hAnsi="Times New Roman" w:cs="Times New Roman"/>
          <w:sz w:val="24"/>
          <w:szCs w:val="24"/>
          <w:lang w:eastAsia="pt-BR"/>
        </w:rPr>
        <w:lastRenderedPageBreak/>
        <w:t xml:space="preserve">Foram testados os pressupostos da normalidade dos resíduos e da homocedasticidade da variância dos resíduos dos modelos utilizados. Apesar da utilização da técnica de </w:t>
      </w:r>
      <w:r w:rsidRPr="00B86865">
        <w:rPr>
          <w:rFonts w:ascii="Times New Roman" w:eastAsiaTheme="minorEastAsia" w:hAnsi="Times New Roman" w:cs="Times New Roman"/>
          <w:i/>
          <w:sz w:val="24"/>
          <w:szCs w:val="24"/>
          <w:lang w:eastAsia="pt-BR"/>
        </w:rPr>
        <w:t>Winsor</w:t>
      </w:r>
      <w:r w:rsidRPr="00B86865">
        <w:rPr>
          <w:rFonts w:ascii="Times New Roman" w:eastAsiaTheme="minorEastAsia" w:hAnsi="Times New Roman" w:cs="Times New Roman"/>
          <w:sz w:val="24"/>
          <w:szCs w:val="24"/>
          <w:lang w:eastAsia="pt-BR"/>
        </w:rPr>
        <w:t xml:space="preserve"> para eliminação de </w:t>
      </w:r>
      <w:r w:rsidRPr="00B86865">
        <w:rPr>
          <w:rFonts w:ascii="Times New Roman" w:eastAsiaTheme="minorEastAsia" w:hAnsi="Times New Roman" w:cs="Times New Roman"/>
          <w:i/>
          <w:sz w:val="24"/>
          <w:szCs w:val="24"/>
          <w:lang w:eastAsia="pt-BR"/>
        </w:rPr>
        <w:t>outliers</w:t>
      </w:r>
      <w:r w:rsidRPr="00B86865">
        <w:rPr>
          <w:rFonts w:ascii="Times New Roman" w:eastAsiaTheme="minorEastAsia" w:hAnsi="Times New Roman" w:cs="Times New Roman"/>
          <w:sz w:val="24"/>
          <w:szCs w:val="24"/>
          <w:lang w:eastAsia="pt-BR"/>
        </w:rPr>
        <w:t>, a hipótese da normalidade não foi confirmada, sendo que os erros do resíduo apresentaram d</w:t>
      </w:r>
      <w:r w:rsidR="00783057">
        <w:rPr>
          <w:rFonts w:ascii="Times New Roman" w:eastAsiaTheme="minorEastAsia" w:hAnsi="Times New Roman" w:cs="Times New Roman"/>
          <w:sz w:val="24"/>
          <w:szCs w:val="24"/>
          <w:lang w:eastAsia="pt-BR"/>
        </w:rPr>
        <w:t>istribuição diferente da normal, porém o pressuposto da normalidade for relaxado pela Teorema do Limite Central (Brooks, 2008).</w:t>
      </w:r>
      <w:r w:rsidRPr="00B86865">
        <w:rPr>
          <w:rFonts w:ascii="Times New Roman" w:eastAsiaTheme="minorEastAsia" w:hAnsi="Times New Roman" w:cs="Times New Roman"/>
          <w:sz w:val="24"/>
          <w:szCs w:val="24"/>
          <w:lang w:eastAsia="pt-BR"/>
        </w:rPr>
        <w:t xml:space="preserve"> Por fim, a hipótese da homocedasticidade da variância dos resíduos também não foi confirmada, sendo estes considerados heterocedásticos. Para tentar se dirimir este problema na estimação, as regressões foram </w:t>
      </w:r>
      <w:r w:rsidR="006B1DFB">
        <w:rPr>
          <w:rFonts w:ascii="Times New Roman" w:eastAsiaTheme="minorEastAsia" w:hAnsi="Times New Roman" w:cs="Times New Roman"/>
          <w:sz w:val="24"/>
          <w:szCs w:val="24"/>
          <w:lang w:eastAsia="pt-BR"/>
        </w:rPr>
        <w:t xml:space="preserve">calculadas </w:t>
      </w:r>
      <w:r w:rsidRPr="00B86865">
        <w:rPr>
          <w:rFonts w:ascii="Times New Roman" w:eastAsiaTheme="minorEastAsia" w:hAnsi="Times New Roman" w:cs="Times New Roman"/>
          <w:sz w:val="24"/>
          <w:szCs w:val="24"/>
          <w:lang w:eastAsia="pt-BR"/>
        </w:rPr>
        <w:t xml:space="preserve">novamente utilizando-se </w:t>
      </w:r>
      <w:r w:rsidR="006B1DFB">
        <w:rPr>
          <w:rFonts w:ascii="Times New Roman" w:eastAsiaTheme="minorEastAsia" w:hAnsi="Times New Roman" w:cs="Times New Roman"/>
          <w:sz w:val="24"/>
          <w:szCs w:val="24"/>
          <w:lang w:eastAsia="pt-BR"/>
        </w:rPr>
        <w:t>de erros-padrão robustos.</w:t>
      </w:r>
    </w:p>
    <w:p w14:paraId="652BA41C" w14:textId="08756C60" w:rsidR="006D00F8" w:rsidRDefault="00514782" w:rsidP="0010012C">
      <w:pPr>
        <w:spacing w:line="240" w:lineRule="auto"/>
        <w:jc w:val="both"/>
        <w:rPr>
          <w:rFonts w:ascii="Times New Roman" w:hAnsi="Times New Roman" w:cs="Times New Roman"/>
          <w:b/>
          <w:sz w:val="24"/>
          <w:szCs w:val="24"/>
        </w:rPr>
      </w:pPr>
      <w:r>
        <w:rPr>
          <w:rFonts w:ascii="Times New Roman" w:hAnsi="Times New Roman" w:cs="Times New Roman"/>
          <w:b/>
          <w:sz w:val="24"/>
          <w:szCs w:val="24"/>
        </w:rPr>
        <w:t>4 ANÁLISE E RESULTADOS DA PESQUISA</w:t>
      </w:r>
    </w:p>
    <w:p w14:paraId="5643C33A" w14:textId="5F90D5FB" w:rsidR="006D00F8" w:rsidRDefault="00514782" w:rsidP="0010012C">
      <w:pPr>
        <w:spacing w:line="240" w:lineRule="auto"/>
        <w:jc w:val="both"/>
        <w:rPr>
          <w:rFonts w:ascii="Times New Roman" w:hAnsi="Times New Roman" w:cs="Times New Roman"/>
          <w:b/>
          <w:sz w:val="24"/>
          <w:szCs w:val="24"/>
        </w:rPr>
      </w:pPr>
      <w:r>
        <w:rPr>
          <w:rFonts w:ascii="Times New Roman" w:hAnsi="Times New Roman" w:cs="Times New Roman"/>
          <w:b/>
          <w:sz w:val="24"/>
          <w:szCs w:val="24"/>
        </w:rPr>
        <w:t>4.1 ESTATÍSTICA DESCRITIVA</w:t>
      </w:r>
    </w:p>
    <w:p w14:paraId="00A567FC" w14:textId="08FA4318" w:rsidR="006D00F8" w:rsidRDefault="006D00F8" w:rsidP="0010012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Neste tópico é feita uma análise sobre as medidas de dispersão e os pontos máximos e mínimos dos valores da amostra analisada. </w:t>
      </w:r>
      <w:r w:rsidR="00F6564C">
        <w:rPr>
          <w:rFonts w:ascii="Times New Roman" w:hAnsi="Times New Roman" w:cs="Times New Roman"/>
          <w:sz w:val="24"/>
          <w:szCs w:val="24"/>
        </w:rPr>
        <w:t xml:space="preserve">A importância desta tabela é evidenciar as diferenças entre as variáveis brutas e reduzidas dos efeitos dos </w:t>
      </w:r>
      <w:r w:rsidR="00F6564C" w:rsidRPr="00F6564C">
        <w:rPr>
          <w:rFonts w:ascii="Times New Roman" w:hAnsi="Times New Roman" w:cs="Times New Roman"/>
          <w:i/>
          <w:sz w:val="24"/>
          <w:szCs w:val="24"/>
        </w:rPr>
        <w:t>outliers</w:t>
      </w:r>
      <w:r w:rsidR="007C0625">
        <w:rPr>
          <w:rFonts w:ascii="Times New Roman" w:hAnsi="Times New Roman" w:cs="Times New Roman"/>
          <w:sz w:val="24"/>
          <w:szCs w:val="24"/>
        </w:rPr>
        <w:t>, mediante a winsorização.</w:t>
      </w:r>
    </w:p>
    <w:p w14:paraId="6483B3E6" w14:textId="77777777" w:rsidR="00187859" w:rsidRDefault="00187859" w:rsidP="00187859">
      <w:pPr>
        <w:spacing w:line="240" w:lineRule="auto"/>
        <w:ind w:firstLine="567"/>
        <w:jc w:val="both"/>
        <w:rPr>
          <w:rFonts w:ascii="Times New Roman" w:hAnsi="Times New Roman" w:cs="Times New Roman"/>
          <w:sz w:val="24"/>
          <w:szCs w:val="24"/>
        </w:rPr>
      </w:pPr>
      <w:r w:rsidRPr="00F6564C">
        <w:rPr>
          <w:rFonts w:ascii="Times New Roman" w:hAnsi="Times New Roman" w:cs="Times New Roman"/>
          <w:sz w:val="24"/>
          <w:szCs w:val="24"/>
        </w:rPr>
        <w:t>Na</w:t>
      </w:r>
      <w:r>
        <w:rPr>
          <w:rFonts w:ascii="Times New Roman" w:hAnsi="Times New Roman" w:cs="Times New Roman"/>
          <w:sz w:val="24"/>
          <w:szCs w:val="24"/>
        </w:rPr>
        <w:t xml:space="preserve"> tabela 2 pode-se observar a existência de 4 (quatro) painéis, conforme o tratamento que foi dado as variáveis analisadas, sendo o painel A referente a amostra com o painel balanceado sem a utilização da técnica de </w:t>
      </w:r>
      <w:r>
        <w:rPr>
          <w:rFonts w:ascii="Times New Roman" w:hAnsi="Times New Roman" w:cs="Times New Roman"/>
          <w:i/>
          <w:sz w:val="24"/>
          <w:szCs w:val="24"/>
        </w:rPr>
        <w:t xml:space="preserve">Winsor </w:t>
      </w:r>
      <w:r>
        <w:rPr>
          <w:rFonts w:ascii="Times New Roman" w:hAnsi="Times New Roman" w:cs="Times New Roman"/>
          <w:sz w:val="24"/>
          <w:szCs w:val="24"/>
        </w:rPr>
        <w:t xml:space="preserve">para reduzir os efeitos dos </w:t>
      </w:r>
      <w:r>
        <w:rPr>
          <w:rFonts w:ascii="Times New Roman" w:hAnsi="Times New Roman" w:cs="Times New Roman"/>
          <w:i/>
          <w:sz w:val="24"/>
          <w:szCs w:val="24"/>
        </w:rPr>
        <w:t>outliers</w:t>
      </w:r>
      <w:r>
        <w:rPr>
          <w:rFonts w:ascii="Times New Roman" w:hAnsi="Times New Roman" w:cs="Times New Roman"/>
          <w:sz w:val="24"/>
          <w:szCs w:val="24"/>
        </w:rPr>
        <w:t xml:space="preserve">, enquanto que o painel B apresenta as estatísticas da amostra com o painel desbalanceado, também sem a redução dos efeitos dos </w:t>
      </w:r>
      <w:r>
        <w:rPr>
          <w:rFonts w:ascii="Times New Roman" w:hAnsi="Times New Roman" w:cs="Times New Roman"/>
          <w:i/>
          <w:sz w:val="24"/>
          <w:szCs w:val="24"/>
        </w:rPr>
        <w:t>outliers</w:t>
      </w:r>
      <w:r>
        <w:rPr>
          <w:rFonts w:ascii="Times New Roman" w:hAnsi="Times New Roman" w:cs="Times New Roman"/>
          <w:sz w:val="24"/>
          <w:szCs w:val="24"/>
        </w:rPr>
        <w:t xml:space="preserve">. O painel C e D evidenciam as estatísticas descritivas para as amostras com painel balanceado e desbalanceado, respectivamente, porém, estes painéis levam em consideração a redução dos efeitos do </w:t>
      </w:r>
      <w:r>
        <w:rPr>
          <w:rFonts w:ascii="Times New Roman" w:hAnsi="Times New Roman" w:cs="Times New Roman"/>
          <w:i/>
          <w:sz w:val="24"/>
          <w:szCs w:val="24"/>
        </w:rPr>
        <w:t xml:space="preserve">outliers </w:t>
      </w:r>
      <w:r>
        <w:rPr>
          <w:rFonts w:ascii="Times New Roman" w:hAnsi="Times New Roman" w:cs="Times New Roman"/>
          <w:sz w:val="24"/>
          <w:szCs w:val="24"/>
        </w:rPr>
        <w:t xml:space="preserve">mediante </w:t>
      </w:r>
      <w:r w:rsidRPr="00A5713A">
        <w:rPr>
          <w:rFonts w:ascii="Times New Roman" w:hAnsi="Times New Roman" w:cs="Times New Roman"/>
          <w:i/>
          <w:sz w:val="24"/>
          <w:szCs w:val="24"/>
        </w:rPr>
        <w:t>winsorização</w:t>
      </w:r>
      <w:r>
        <w:rPr>
          <w:rFonts w:ascii="Times New Roman" w:hAnsi="Times New Roman" w:cs="Times New Roman"/>
          <w:sz w:val="24"/>
          <w:szCs w:val="24"/>
        </w:rPr>
        <w:t xml:space="preserve"> das variáveis a 1%.</w:t>
      </w:r>
    </w:p>
    <w:p w14:paraId="2B997D7C" w14:textId="66C9CD39" w:rsidR="00187859" w:rsidRPr="00B04C86" w:rsidRDefault="00187859" w:rsidP="0018785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comparação entre o painel A e C nos mostra as alterações sofridas pelos dados quando os mesmos são observados em seu estado bruto e quando </w:t>
      </w:r>
      <w:r w:rsidRPr="002A5555">
        <w:rPr>
          <w:rFonts w:ascii="Times New Roman" w:hAnsi="Times New Roman" w:cs="Times New Roman"/>
          <w:i/>
          <w:sz w:val="24"/>
          <w:szCs w:val="24"/>
        </w:rPr>
        <w:t>winsorizados</w:t>
      </w:r>
      <w:r>
        <w:rPr>
          <w:rFonts w:ascii="Times New Roman" w:hAnsi="Times New Roman" w:cs="Times New Roman"/>
          <w:sz w:val="24"/>
          <w:szCs w:val="24"/>
        </w:rPr>
        <w:t xml:space="preserve"> para a amostra com painel balanceado. A variável que sofreu maior impacto quando reduzido o</w:t>
      </w:r>
      <w:r w:rsidR="00345E6A">
        <w:rPr>
          <w:rFonts w:ascii="Times New Roman" w:hAnsi="Times New Roman" w:cs="Times New Roman"/>
          <w:sz w:val="24"/>
          <w:szCs w:val="24"/>
        </w:rPr>
        <w:t>s</w:t>
      </w:r>
      <w:r>
        <w:rPr>
          <w:rFonts w:ascii="Times New Roman" w:hAnsi="Times New Roman" w:cs="Times New Roman"/>
          <w:sz w:val="24"/>
          <w:szCs w:val="24"/>
        </w:rPr>
        <w:t xml:space="preserve"> efeitos dos </w:t>
      </w:r>
      <w:r>
        <w:rPr>
          <w:rFonts w:ascii="Times New Roman" w:hAnsi="Times New Roman" w:cs="Times New Roman"/>
          <w:i/>
          <w:sz w:val="24"/>
          <w:szCs w:val="24"/>
        </w:rPr>
        <w:t xml:space="preserve">outliers </w:t>
      </w:r>
      <w:r>
        <w:rPr>
          <w:rFonts w:ascii="Times New Roman" w:hAnsi="Times New Roman" w:cs="Times New Roman"/>
          <w:sz w:val="24"/>
          <w:szCs w:val="24"/>
        </w:rPr>
        <w:t xml:space="preserve">foi a variável CrescAt, representativa do crescimento dos ativos no período, onde o mesmo apresentou nos dados brutos o valor de 739,952, indicando que em determinado período os ativos de uma certa instituição cresceram aproximadamente 740 vezes. Quando esta variável foi </w:t>
      </w:r>
      <w:proofErr w:type="spellStart"/>
      <w:r w:rsidRPr="002A5555">
        <w:rPr>
          <w:rFonts w:ascii="Times New Roman" w:hAnsi="Times New Roman" w:cs="Times New Roman"/>
          <w:i/>
          <w:sz w:val="24"/>
          <w:szCs w:val="24"/>
        </w:rPr>
        <w:t>winsorizada</w:t>
      </w:r>
      <w:proofErr w:type="spellEnd"/>
      <w:r>
        <w:rPr>
          <w:rFonts w:ascii="Times New Roman" w:hAnsi="Times New Roman" w:cs="Times New Roman"/>
          <w:sz w:val="24"/>
          <w:szCs w:val="24"/>
        </w:rPr>
        <w:t xml:space="preserve"> o seu valor máximo reduziu para 4,849. Ressalta-se que os valores de mediana e média não sofreram grandes alterações, permanecendo basicamente estáveis.</w:t>
      </w:r>
    </w:p>
    <w:p w14:paraId="3A6FCC59" w14:textId="77777777" w:rsidR="00187859" w:rsidRDefault="00187859" w:rsidP="0018785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Mediante a comparação da variável ROA do painel desbalanceado (painéis B e D), verifica-se uma grande mudança em relação aos pontos máximo e mínimo, tendo o primeiro ponto com a variável bruta (painel B) o valor de 7,203 à medida que o valor seu máximo na análise com os dados </w:t>
      </w:r>
      <w:r w:rsidRPr="00422AAB">
        <w:rPr>
          <w:rFonts w:ascii="Times New Roman" w:hAnsi="Times New Roman" w:cs="Times New Roman"/>
          <w:i/>
          <w:sz w:val="24"/>
          <w:szCs w:val="24"/>
        </w:rPr>
        <w:t>winsorizados</w:t>
      </w:r>
      <w:r>
        <w:rPr>
          <w:rFonts w:ascii="Times New Roman" w:hAnsi="Times New Roman" w:cs="Times New Roman"/>
          <w:sz w:val="24"/>
          <w:szCs w:val="24"/>
        </w:rPr>
        <w:t xml:space="preserve"> atingiu 0,291, enquanto que o ponto mínimo analisado partiu de -7,781 (dados brutos) para -0,707 (dados winsorizados). Ainda em relação a esta amostra (painel desbalanceado) tem-se que ser observado as diferenças existentes para as medidas de pontos máximos e mínimos, bem como o desvio-padrão das variáveis D/A e CrescAt. Porém, mesmo com estas diferenças, verifica-se que as medidas de média e mediana desta amostra não sofreram graves alterações em seus valores, assim como na análise do painel balanceado. Deve-se ressaltar que as variáveis PIB, IPCA e SELIC não sofreram </w:t>
      </w:r>
      <w:r w:rsidRPr="00422AAB">
        <w:rPr>
          <w:rFonts w:ascii="Times New Roman" w:hAnsi="Times New Roman" w:cs="Times New Roman"/>
          <w:i/>
          <w:sz w:val="24"/>
          <w:szCs w:val="24"/>
        </w:rPr>
        <w:t>winsorização</w:t>
      </w:r>
      <w:r>
        <w:rPr>
          <w:rFonts w:ascii="Times New Roman" w:hAnsi="Times New Roman" w:cs="Times New Roman"/>
          <w:sz w:val="24"/>
          <w:szCs w:val="24"/>
        </w:rPr>
        <w:t xml:space="preserve">, não sendo apresentados valores diferentes entre as variáveis brutas e </w:t>
      </w:r>
      <w:r w:rsidRPr="00422AAB">
        <w:rPr>
          <w:rFonts w:ascii="Times New Roman" w:hAnsi="Times New Roman" w:cs="Times New Roman"/>
          <w:i/>
          <w:sz w:val="24"/>
          <w:szCs w:val="24"/>
        </w:rPr>
        <w:t>winsorizadas</w:t>
      </w:r>
      <w:r>
        <w:rPr>
          <w:rFonts w:ascii="Times New Roman" w:hAnsi="Times New Roman" w:cs="Times New Roman"/>
          <w:sz w:val="24"/>
          <w:szCs w:val="24"/>
        </w:rPr>
        <w:t>.</w:t>
      </w:r>
    </w:p>
    <w:p w14:paraId="43020D32" w14:textId="77777777" w:rsidR="007C0625" w:rsidRPr="00324007" w:rsidRDefault="007C0625" w:rsidP="00FC4870">
      <w:pPr>
        <w:spacing w:after="0" w:line="240" w:lineRule="auto"/>
        <w:ind w:left="364"/>
        <w:rPr>
          <w:rFonts w:ascii="Times New Roman" w:hAnsi="Times New Roman" w:cs="Times New Roman"/>
          <w:sz w:val="20"/>
          <w:szCs w:val="20"/>
        </w:rPr>
      </w:pPr>
      <w:r w:rsidRPr="00324007">
        <w:rPr>
          <w:rFonts w:ascii="Times New Roman" w:hAnsi="Times New Roman" w:cs="Times New Roman"/>
          <w:sz w:val="20"/>
          <w:szCs w:val="20"/>
        </w:rPr>
        <w:t>Tabela 2 – Estatística Descritiva</w:t>
      </w:r>
    </w:p>
    <w:tbl>
      <w:tblPr>
        <w:tblStyle w:val="Tabelacomgrade"/>
        <w:tblW w:w="8383"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2"/>
        <w:gridCol w:w="672"/>
        <w:gridCol w:w="742"/>
        <w:gridCol w:w="854"/>
        <w:gridCol w:w="882"/>
        <w:gridCol w:w="910"/>
        <w:gridCol w:w="895"/>
        <w:gridCol w:w="770"/>
        <w:gridCol w:w="770"/>
        <w:gridCol w:w="896"/>
      </w:tblGrid>
      <w:tr w:rsidR="007C0625" w:rsidRPr="00395FAB" w14:paraId="23E154D5" w14:textId="77777777" w:rsidTr="00345E6A">
        <w:trPr>
          <w:jc w:val="center"/>
        </w:trPr>
        <w:tc>
          <w:tcPr>
            <w:tcW w:w="5052" w:type="dxa"/>
            <w:gridSpan w:val="6"/>
          </w:tcPr>
          <w:p w14:paraId="40C10EAE"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PAINEL A – Painel Balanceado (Variáveis brutas)</w:t>
            </w:r>
          </w:p>
        </w:tc>
        <w:tc>
          <w:tcPr>
            <w:tcW w:w="895" w:type="dxa"/>
          </w:tcPr>
          <w:p w14:paraId="495D090B" w14:textId="77777777" w:rsidR="007C0625" w:rsidRPr="00395FAB" w:rsidRDefault="007C0625" w:rsidP="00C2461C">
            <w:pPr>
              <w:jc w:val="both"/>
              <w:rPr>
                <w:rFonts w:ascii="Times New Roman" w:hAnsi="Times New Roman" w:cs="Times New Roman"/>
                <w:sz w:val="20"/>
                <w:szCs w:val="20"/>
              </w:rPr>
            </w:pPr>
          </w:p>
        </w:tc>
        <w:tc>
          <w:tcPr>
            <w:tcW w:w="770" w:type="dxa"/>
          </w:tcPr>
          <w:p w14:paraId="1130D10D" w14:textId="77777777" w:rsidR="007C0625" w:rsidRPr="00395FAB" w:rsidRDefault="007C0625" w:rsidP="00C2461C">
            <w:pPr>
              <w:jc w:val="both"/>
              <w:rPr>
                <w:rFonts w:ascii="Times New Roman" w:hAnsi="Times New Roman" w:cs="Times New Roman"/>
                <w:sz w:val="20"/>
                <w:szCs w:val="20"/>
              </w:rPr>
            </w:pPr>
          </w:p>
        </w:tc>
        <w:tc>
          <w:tcPr>
            <w:tcW w:w="770" w:type="dxa"/>
          </w:tcPr>
          <w:p w14:paraId="18D0A256" w14:textId="77777777" w:rsidR="007C0625" w:rsidRPr="00395FAB" w:rsidRDefault="007C0625" w:rsidP="00C2461C">
            <w:pPr>
              <w:jc w:val="both"/>
              <w:rPr>
                <w:rFonts w:ascii="Times New Roman" w:hAnsi="Times New Roman" w:cs="Times New Roman"/>
                <w:sz w:val="20"/>
                <w:szCs w:val="20"/>
              </w:rPr>
            </w:pPr>
          </w:p>
        </w:tc>
        <w:tc>
          <w:tcPr>
            <w:tcW w:w="896" w:type="dxa"/>
          </w:tcPr>
          <w:p w14:paraId="16F08314" w14:textId="77777777" w:rsidR="007C0625" w:rsidRPr="00395FAB" w:rsidRDefault="007C0625" w:rsidP="00C2461C">
            <w:pPr>
              <w:jc w:val="both"/>
              <w:rPr>
                <w:rFonts w:ascii="Times New Roman" w:hAnsi="Times New Roman" w:cs="Times New Roman"/>
                <w:sz w:val="20"/>
                <w:szCs w:val="20"/>
              </w:rPr>
            </w:pPr>
          </w:p>
        </w:tc>
      </w:tr>
      <w:tr w:rsidR="007C0625" w:rsidRPr="00395FAB" w14:paraId="008E3112" w14:textId="77777777" w:rsidTr="00345E6A">
        <w:trPr>
          <w:jc w:val="center"/>
        </w:trPr>
        <w:tc>
          <w:tcPr>
            <w:tcW w:w="992" w:type="dxa"/>
            <w:tcBorders>
              <w:bottom w:val="single" w:sz="4" w:space="0" w:color="auto"/>
            </w:tcBorders>
          </w:tcPr>
          <w:p w14:paraId="16803C8F" w14:textId="77777777" w:rsidR="007C0625" w:rsidRPr="00395FAB" w:rsidRDefault="007C0625" w:rsidP="00C2461C">
            <w:pPr>
              <w:jc w:val="both"/>
              <w:rPr>
                <w:rFonts w:ascii="Times New Roman" w:hAnsi="Times New Roman" w:cs="Times New Roman"/>
                <w:sz w:val="20"/>
                <w:szCs w:val="20"/>
              </w:rPr>
            </w:pPr>
          </w:p>
        </w:tc>
        <w:tc>
          <w:tcPr>
            <w:tcW w:w="672" w:type="dxa"/>
            <w:tcBorders>
              <w:bottom w:val="single" w:sz="4" w:space="0" w:color="auto"/>
            </w:tcBorders>
          </w:tcPr>
          <w:p w14:paraId="509FF0DF"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D/A</w:t>
            </w:r>
          </w:p>
        </w:tc>
        <w:tc>
          <w:tcPr>
            <w:tcW w:w="742" w:type="dxa"/>
            <w:tcBorders>
              <w:bottom w:val="single" w:sz="4" w:space="0" w:color="auto"/>
            </w:tcBorders>
          </w:tcPr>
          <w:p w14:paraId="22E87A53"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ROA</w:t>
            </w:r>
          </w:p>
        </w:tc>
        <w:tc>
          <w:tcPr>
            <w:tcW w:w="854" w:type="dxa"/>
            <w:tcBorders>
              <w:bottom w:val="single" w:sz="4" w:space="0" w:color="auto"/>
            </w:tcBorders>
          </w:tcPr>
          <w:p w14:paraId="4BA9776D"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LogAti</w:t>
            </w:r>
          </w:p>
        </w:tc>
        <w:tc>
          <w:tcPr>
            <w:tcW w:w="882" w:type="dxa"/>
            <w:tcBorders>
              <w:bottom w:val="single" w:sz="4" w:space="0" w:color="auto"/>
            </w:tcBorders>
          </w:tcPr>
          <w:p w14:paraId="3F57700F"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CrescAt</w:t>
            </w:r>
          </w:p>
        </w:tc>
        <w:tc>
          <w:tcPr>
            <w:tcW w:w="910" w:type="dxa"/>
            <w:tcBorders>
              <w:bottom w:val="single" w:sz="4" w:space="0" w:color="auto"/>
            </w:tcBorders>
          </w:tcPr>
          <w:p w14:paraId="1872B2AA"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Emp/At</w:t>
            </w:r>
          </w:p>
        </w:tc>
        <w:tc>
          <w:tcPr>
            <w:tcW w:w="895" w:type="dxa"/>
            <w:tcBorders>
              <w:bottom w:val="single" w:sz="4" w:space="0" w:color="auto"/>
            </w:tcBorders>
          </w:tcPr>
          <w:p w14:paraId="033CD49D" w14:textId="77777777" w:rsidR="007C0625" w:rsidRDefault="007C0625" w:rsidP="00C2461C">
            <w:pPr>
              <w:jc w:val="center"/>
              <w:rPr>
                <w:rFonts w:ascii="Times New Roman" w:hAnsi="Times New Roman" w:cs="Times New Roman"/>
                <w:sz w:val="20"/>
                <w:szCs w:val="20"/>
              </w:rPr>
            </w:pPr>
            <w:r>
              <w:rPr>
                <w:rFonts w:ascii="Times New Roman" w:hAnsi="Times New Roman" w:cs="Times New Roman"/>
                <w:sz w:val="20"/>
                <w:szCs w:val="20"/>
              </w:rPr>
              <w:t>Dep/Pas</w:t>
            </w:r>
          </w:p>
        </w:tc>
        <w:tc>
          <w:tcPr>
            <w:tcW w:w="770" w:type="dxa"/>
            <w:tcBorders>
              <w:bottom w:val="single" w:sz="4" w:space="0" w:color="auto"/>
            </w:tcBorders>
          </w:tcPr>
          <w:p w14:paraId="4FB54EFF" w14:textId="77777777" w:rsidR="007C0625" w:rsidRDefault="007C0625" w:rsidP="00C2461C">
            <w:pPr>
              <w:jc w:val="center"/>
              <w:rPr>
                <w:rFonts w:ascii="Times New Roman" w:hAnsi="Times New Roman" w:cs="Times New Roman"/>
                <w:sz w:val="20"/>
                <w:szCs w:val="20"/>
              </w:rPr>
            </w:pPr>
            <w:r>
              <w:rPr>
                <w:rFonts w:ascii="Times New Roman" w:hAnsi="Times New Roman" w:cs="Times New Roman"/>
                <w:sz w:val="20"/>
                <w:szCs w:val="20"/>
              </w:rPr>
              <w:t>PIB</w:t>
            </w:r>
          </w:p>
        </w:tc>
        <w:tc>
          <w:tcPr>
            <w:tcW w:w="770" w:type="dxa"/>
            <w:tcBorders>
              <w:bottom w:val="single" w:sz="4" w:space="0" w:color="auto"/>
            </w:tcBorders>
          </w:tcPr>
          <w:p w14:paraId="79A45CCF" w14:textId="77777777" w:rsidR="007C0625" w:rsidRDefault="007C0625" w:rsidP="00C2461C">
            <w:pPr>
              <w:jc w:val="center"/>
              <w:rPr>
                <w:rFonts w:ascii="Times New Roman" w:hAnsi="Times New Roman" w:cs="Times New Roman"/>
                <w:sz w:val="20"/>
                <w:szCs w:val="20"/>
              </w:rPr>
            </w:pPr>
            <w:r>
              <w:rPr>
                <w:rFonts w:ascii="Times New Roman" w:hAnsi="Times New Roman" w:cs="Times New Roman"/>
                <w:sz w:val="20"/>
                <w:szCs w:val="20"/>
              </w:rPr>
              <w:t>IPCA</w:t>
            </w:r>
          </w:p>
        </w:tc>
        <w:tc>
          <w:tcPr>
            <w:tcW w:w="896" w:type="dxa"/>
            <w:tcBorders>
              <w:bottom w:val="single" w:sz="4" w:space="0" w:color="auto"/>
            </w:tcBorders>
          </w:tcPr>
          <w:p w14:paraId="31896FAE" w14:textId="77777777" w:rsidR="007C0625" w:rsidRDefault="007C0625" w:rsidP="00C2461C">
            <w:pPr>
              <w:jc w:val="center"/>
              <w:rPr>
                <w:rFonts w:ascii="Times New Roman" w:hAnsi="Times New Roman" w:cs="Times New Roman"/>
                <w:sz w:val="20"/>
                <w:szCs w:val="20"/>
              </w:rPr>
            </w:pPr>
            <w:r>
              <w:rPr>
                <w:rFonts w:ascii="Times New Roman" w:hAnsi="Times New Roman" w:cs="Times New Roman"/>
                <w:sz w:val="20"/>
                <w:szCs w:val="20"/>
              </w:rPr>
              <w:t>SELIC</w:t>
            </w:r>
          </w:p>
        </w:tc>
      </w:tr>
      <w:tr w:rsidR="007C0625" w:rsidRPr="00395FAB" w14:paraId="78400BD7" w14:textId="77777777" w:rsidTr="00345E6A">
        <w:trPr>
          <w:jc w:val="center"/>
        </w:trPr>
        <w:tc>
          <w:tcPr>
            <w:tcW w:w="992" w:type="dxa"/>
            <w:tcBorders>
              <w:bottom w:val="nil"/>
            </w:tcBorders>
          </w:tcPr>
          <w:p w14:paraId="69FD1E42"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Média</w:t>
            </w:r>
          </w:p>
        </w:tc>
        <w:tc>
          <w:tcPr>
            <w:tcW w:w="672" w:type="dxa"/>
            <w:tcBorders>
              <w:bottom w:val="nil"/>
            </w:tcBorders>
            <w:vAlign w:val="bottom"/>
          </w:tcPr>
          <w:p w14:paraId="2E7EB5F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0,731</w:t>
            </w:r>
          </w:p>
        </w:tc>
        <w:tc>
          <w:tcPr>
            <w:tcW w:w="742" w:type="dxa"/>
            <w:tcBorders>
              <w:bottom w:val="nil"/>
            </w:tcBorders>
            <w:vAlign w:val="bottom"/>
          </w:tcPr>
          <w:p w14:paraId="4E1706C4"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0,016</w:t>
            </w:r>
          </w:p>
        </w:tc>
        <w:tc>
          <w:tcPr>
            <w:tcW w:w="854" w:type="dxa"/>
            <w:tcBorders>
              <w:bottom w:val="nil"/>
            </w:tcBorders>
            <w:vAlign w:val="bottom"/>
          </w:tcPr>
          <w:p w14:paraId="646B5EB9"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6,147</w:t>
            </w:r>
          </w:p>
        </w:tc>
        <w:tc>
          <w:tcPr>
            <w:tcW w:w="882" w:type="dxa"/>
            <w:tcBorders>
              <w:bottom w:val="nil"/>
            </w:tcBorders>
            <w:vAlign w:val="bottom"/>
          </w:tcPr>
          <w:p w14:paraId="061DD10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0,755</w:t>
            </w:r>
          </w:p>
        </w:tc>
        <w:tc>
          <w:tcPr>
            <w:tcW w:w="910" w:type="dxa"/>
            <w:tcBorders>
              <w:bottom w:val="nil"/>
            </w:tcBorders>
            <w:vAlign w:val="bottom"/>
          </w:tcPr>
          <w:p w14:paraId="40E8A9A6"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0,312</w:t>
            </w:r>
          </w:p>
        </w:tc>
        <w:tc>
          <w:tcPr>
            <w:tcW w:w="895" w:type="dxa"/>
            <w:tcBorders>
              <w:bottom w:val="nil"/>
            </w:tcBorders>
          </w:tcPr>
          <w:p w14:paraId="38C1104F"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0,434</w:t>
            </w:r>
          </w:p>
        </w:tc>
        <w:tc>
          <w:tcPr>
            <w:tcW w:w="770" w:type="dxa"/>
            <w:tcBorders>
              <w:bottom w:val="nil"/>
            </w:tcBorders>
          </w:tcPr>
          <w:p w14:paraId="619B79B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0,029</w:t>
            </w:r>
          </w:p>
        </w:tc>
        <w:tc>
          <w:tcPr>
            <w:tcW w:w="770" w:type="dxa"/>
            <w:tcBorders>
              <w:bottom w:val="nil"/>
            </w:tcBorders>
          </w:tcPr>
          <w:p w14:paraId="24996B9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0,065</w:t>
            </w:r>
          </w:p>
        </w:tc>
        <w:tc>
          <w:tcPr>
            <w:tcW w:w="896" w:type="dxa"/>
            <w:tcBorders>
              <w:bottom w:val="nil"/>
            </w:tcBorders>
          </w:tcPr>
          <w:p w14:paraId="2CC0B72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0,170</w:t>
            </w:r>
          </w:p>
        </w:tc>
      </w:tr>
      <w:tr w:rsidR="007C0625" w:rsidRPr="00395FAB" w14:paraId="0B858833" w14:textId="77777777" w:rsidTr="00345E6A">
        <w:trPr>
          <w:jc w:val="center"/>
        </w:trPr>
        <w:tc>
          <w:tcPr>
            <w:tcW w:w="992" w:type="dxa"/>
            <w:tcBorders>
              <w:top w:val="nil"/>
              <w:bottom w:val="nil"/>
            </w:tcBorders>
          </w:tcPr>
          <w:p w14:paraId="4C1336C8"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Mediana</w:t>
            </w:r>
          </w:p>
        </w:tc>
        <w:tc>
          <w:tcPr>
            <w:tcW w:w="672" w:type="dxa"/>
            <w:tcBorders>
              <w:top w:val="nil"/>
              <w:bottom w:val="nil"/>
            </w:tcBorders>
            <w:vAlign w:val="bottom"/>
          </w:tcPr>
          <w:p w14:paraId="1829844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0,831</w:t>
            </w:r>
          </w:p>
        </w:tc>
        <w:tc>
          <w:tcPr>
            <w:tcW w:w="742" w:type="dxa"/>
            <w:tcBorders>
              <w:top w:val="nil"/>
              <w:bottom w:val="nil"/>
            </w:tcBorders>
            <w:vAlign w:val="bottom"/>
          </w:tcPr>
          <w:p w14:paraId="0BC467A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0,013</w:t>
            </w:r>
          </w:p>
        </w:tc>
        <w:tc>
          <w:tcPr>
            <w:tcW w:w="854" w:type="dxa"/>
            <w:tcBorders>
              <w:top w:val="nil"/>
              <w:bottom w:val="nil"/>
            </w:tcBorders>
            <w:vAlign w:val="bottom"/>
          </w:tcPr>
          <w:p w14:paraId="08C9D6BA"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6,141</w:t>
            </w:r>
          </w:p>
        </w:tc>
        <w:tc>
          <w:tcPr>
            <w:tcW w:w="882" w:type="dxa"/>
            <w:tcBorders>
              <w:top w:val="nil"/>
              <w:bottom w:val="nil"/>
            </w:tcBorders>
            <w:vAlign w:val="bottom"/>
          </w:tcPr>
          <w:p w14:paraId="423F5B9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0,148</w:t>
            </w:r>
          </w:p>
        </w:tc>
        <w:tc>
          <w:tcPr>
            <w:tcW w:w="910" w:type="dxa"/>
            <w:tcBorders>
              <w:top w:val="nil"/>
              <w:bottom w:val="nil"/>
            </w:tcBorders>
            <w:vAlign w:val="bottom"/>
          </w:tcPr>
          <w:p w14:paraId="13AA58C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0,279</w:t>
            </w:r>
          </w:p>
        </w:tc>
        <w:tc>
          <w:tcPr>
            <w:tcW w:w="895" w:type="dxa"/>
            <w:tcBorders>
              <w:top w:val="nil"/>
              <w:bottom w:val="nil"/>
            </w:tcBorders>
          </w:tcPr>
          <w:p w14:paraId="091D5DE2"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0,422</w:t>
            </w:r>
          </w:p>
        </w:tc>
        <w:tc>
          <w:tcPr>
            <w:tcW w:w="770" w:type="dxa"/>
            <w:tcBorders>
              <w:top w:val="nil"/>
              <w:bottom w:val="nil"/>
            </w:tcBorders>
          </w:tcPr>
          <w:p w14:paraId="46A75D6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0,027</w:t>
            </w:r>
          </w:p>
        </w:tc>
        <w:tc>
          <w:tcPr>
            <w:tcW w:w="770" w:type="dxa"/>
            <w:tcBorders>
              <w:top w:val="nil"/>
              <w:bottom w:val="nil"/>
            </w:tcBorders>
          </w:tcPr>
          <w:p w14:paraId="1DB7EC8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0,059</w:t>
            </w:r>
          </w:p>
        </w:tc>
        <w:tc>
          <w:tcPr>
            <w:tcW w:w="896" w:type="dxa"/>
            <w:tcBorders>
              <w:top w:val="nil"/>
              <w:bottom w:val="nil"/>
            </w:tcBorders>
          </w:tcPr>
          <w:p w14:paraId="33F9A6E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0,168</w:t>
            </w:r>
          </w:p>
        </w:tc>
      </w:tr>
      <w:tr w:rsidR="007C0625" w:rsidRPr="00395FAB" w14:paraId="273EFB9C" w14:textId="77777777" w:rsidTr="00345E6A">
        <w:trPr>
          <w:jc w:val="center"/>
        </w:trPr>
        <w:tc>
          <w:tcPr>
            <w:tcW w:w="992" w:type="dxa"/>
            <w:tcBorders>
              <w:top w:val="nil"/>
              <w:bottom w:val="nil"/>
            </w:tcBorders>
          </w:tcPr>
          <w:p w14:paraId="1CC6C58D"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Desvio-Padrão</w:t>
            </w:r>
          </w:p>
        </w:tc>
        <w:tc>
          <w:tcPr>
            <w:tcW w:w="672" w:type="dxa"/>
            <w:tcBorders>
              <w:top w:val="nil"/>
              <w:bottom w:val="nil"/>
            </w:tcBorders>
            <w:vAlign w:val="center"/>
          </w:tcPr>
          <w:p w14:paraId="10956E7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0,262</w:t>
            </w:r>
          </w:p>
        </w:tc>
        <w:tc>
          <w:tcPr>
            <w:tcW w:w="742" w:type="dxa"/>
            <w:tcBorders>
              <w:top w:val="nil"/>
              <w:bottom w:val="nil"/>
            </w:tcBorders>
            <w:vAlign w:val="center"/>
          </w:tcPr>
          <w:p w14:paraId="4FBBA691"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0,067</w:t>
            </w:r>
          </w:p>
        </w:tc>
        <w:tc>
          <w:tcPr>
            <w:tcW w:w="854" w:type="dxa"/>
            <w:tcBorders>
              <w:top w:val="nil"/>
              <w:bottom w:val="nil"/>
            </w:tcBorders>
            <w:vAlign w:val="center"/>
          </w:tcPr>
          <w:p w14:paraId="6CF1F29F"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0,999</w:t>
            </w:r>
          </w:p>
        </w:tc>
        <w:tc>
          <w:tcPr>
            <w:tcW w:w="882" w:type="dxa"/>
            <w:tcBorders>
              <w:top w:val="nil"/>
              <w:bottom w:val="nil"/>
            </w:tcBorders>
            <w:vAlign w:val="center"/>
          </w:tcPr>
          <w:p w14:paraId="18F5B7D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18,935</w:t>
            </w:r>
          </w:p>
        </w:tc>
        <w:tc>
          <w:tcPr>
            <w:tcW w:w="910" w:type="dxa"/>
            <w:tcBorders>
              <w:top w:val="nil"/>
              <w:bottom w:val="nil"/>
            </w:tcBorders>
            <w:vAlign w:val="center"/>
          </w:tcPr>
          <w:p w14:paraId="2599C91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0,241</w:t>
            </w:r>
          </w:p>
        </w:tc>
        <w:tc>
          <w:tcPr>
            <w:tcW w:w="895" w:type="dxa"/>
            <w:tcBorders>
              <w:top w:val="nil"/>
              <w:bottom w:val="nil"/>
            </w:tcBorders>
            <w:vAlign w:val="center"/>
          </w:tcPr>
          <w:p w14:paraId="17C403A6"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0,292</w:t>
            </w:r>
          </w:p>
        </w:tc>
        <w:tc>
          <w:tcPr>
            <w:tcW w:w="770" w:type="dxa"/>
            <w:tcBorders>
              <w:top w:val="nil"/>
              <w:bottom w:val="nil"/>
            </w:tcBorders>
            <w:vAlign w:val="center"/>
          </w:tcPr>
          <w:p w14:paraId="55CCA2B0"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0,022</w:t>
            </w:r>
          </w:p>
        </w:tc>
        <w:tc>
          <w:tcPr>
            <w:tcW w:w="770" w:type="dxa"/>
            <w:tcBorders>
              <w:top w:val="nil"/>
              <w:bottom w:val="nil"/>
            </w:tcBorders>
            <w:vAlign w:val="center"/>
          </w:tcPr>
          <w:p w14:paraId="268A1A4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0,025</w:t>
            </w:r>
          </w:p>
        </w:tc>
        <w:tc>
          <w:tcPr>
            <w:tcW w:w="896" w:type="dxa"/>
            <w:tcBorders>
              <w:top w:val="nil"/>
              <w:bottom w:val="nil"/>
            </w:tcBorders>
            <w:vAlign w:val="center"/>
          </w:tcPr>
          <w:p w14:paraId="1B1F9FB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0,065</w:t>
            </w:r>
          </w:p>
        </w:tc>
      </w:tr>
      <w:tr w:rsidR="007C0625" w:rsidRPr="00395FAB" w14:paraId="30A09159" w14:textId="77777777" w:rsidTr="00345E6A">
        <w:trPr>
          <w:jc w:val="center"/>
        </w:trPr>
        <w:tc>
          <w:tcPr>
            <w:tcW w:w="992" w:type="dxa"/>
            <w:tcBorders>
              <w:top w:val="nil"/>
              <w:bottom w:val="nil"/>
            </w:tcBorders>
          </w:tcPr>
          <w:p w14:paraId="36475821"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Máximo</w:t>
            </w:r>
          </w:p>
        </w:tc>
        <w:tc>
          <w:tcPr>
            <w:tcW w:w="672" w:type="dxa"/>
            <w:tcBorders>
              <w:top w:val="nil"/>
              <w:bottom w:val="nil"/>
            </w:tcBorders>
            <w:vAlign w:val="bottom"/>
          </w:tcPr>
          <w:p w14:paraId="6A0CB64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1,946</w:t>
            </w:r>
          </w:p>
        </w:tc>
        <w:tc>
          <w:tcPr>
            <w:tcW w:w="742" w:type="dxa"/>
            <w:tcBorders>
              <w:top w:val="nil"/>
              <w:bottom w:val="nil"/>
            </w:tcBorders>
            <w:vAlign w:val="bottom"/>
          </w:tcPr>
          <w:p w14:paraId="04B92519"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0,412</w:t>
            </w:r>
          </w:p>
        </w:tc>
        <w:tc>
          <w:tcPr>
            <w:tcW w:w="854" w:type="dxa"/>
            <w:tcBorders>
              <w:top w:val="nil"/>
              <w:bottom w:val="nil"/>
            </w:tcBorders>
            <w:vAlign w:val="bottom"/>
          </w:tcPr>
          <w:p w14:paraId="4DD0F41E"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9,049</w:t>
            </w:r>
          </w:p>
        </w:tc>
        <w:tc>
          <w:tcPr>
            <w:tcW w:w="882" w:type="dxa"/>
            <w:tcBorders>
              <w:top w:val="nil"/>
              <w:bottom w:val="nil"/>
            </w:tcBorders>
            <w:vAlign w:val="bottom"/>
          </w:tcPr>
          <w:p w14:paraId="6431FA0A"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739,952</w:t>
            </w:r>
          </w:p>
        </w:tc>
        <w:tc>
          <w:tcPr>
            <w:tcW w:w="910" w:type="dxa"/>
            <w:tcBorders>
              <w:top w:val="nil"/>
              <w:bottom w:val="nil"/>
            </w:tcBorders>
            <w:vAlign w:val="bottom"/>
          </w:tcPr>
          <w:p w14:paraId="6C5234F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0,980</w:t>
            </w:r>
          </w:p>
        </w:tc>
        <w:tc>
          <w:tcPr>
            <w:tcW w:w="895" w:type="dxa"/>
            <w:tcBorders>
              <w:top w:val="nil"/>
              <w:bottom w:val="nil"/>
            </w:tcBorders>
          </w:tcPr>
          <w:p w14:paraId="28C7A23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0,983</w:t>
            </w:r>
          </w:p>
        </w:tc>
        <w:tc>
          <w:tcPr>
            <w:tcW w:w="770" w:type="dxa"/>
            <w:tcBorders>
              <w:top w:val="nil"/>
              <w:bottom w:val="nil"/>
            </w:tcBorders>
          </w:tcPr>
          <w:p w14:paraId="0DA68C12"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0,075</w:t>
            </w:r>
          </w:p>
        </w:tc>
        <w:tc>
          <w:tcPr>
            <w:tcW w:w="770" w:type="dxa"/>
            <w:tcBorders>
              <w:top w:val="nil"/>
              <w:bottom w:val="nil"/>
            </w:tcBorders>
          </w:tcPr>
          <w:p w14:paraId="49584696"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0,125</w:t>
            </w:r>
          </w:p>
        </w:tc>
        <w:tc>
          <w:tcPr>
            <w:tcW w:w="896" w:type="dxa"/>
            <w:tcBorders>
              <w:top w:val="nil"/>
              <w:bottom w:val="nil"/>
            </w:tcBorders>
          </w:tcPr>
          <w:p w14:paraId="5A98BD3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0,288</w:t>
            </w:r>
          </w:p>
        </w:tc>
      </w:tr>
      <w:tr w:rsidR="007C0625" w:rsidRPr="00395FAB" w14:paraId="3086E9A9" w14:textId="77777777" w:rsidTr="00345E6A">
        <w:trPr>
          <w:jc w:val="center"/>
        </w:trPr>
        <w:tc>
          <w:tcPr>
            <w:tcW w:w="992" w:type="dxa"/>
            <w:tcBorders>
              <w:top w:val="nil"/>
            </w:tcBorders>
          </w:tcPr>
          <w:p w14:paraId="1AF4C20D"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Mínimo</w:t>
            </w:r>
          </w:p>
        </w:tc>
        <w:tc>
          <w:tcPr>
            <w:tcW w:w="672" w:type="dxa"/>
            <w:tcBorders>
              <w:top w:val="nil"/>
            </w:tcBorders>
            <w:vAlign w:val="bottom"/>
          </w:tcPr>
          <w:p w14:paraId="3AC52179"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0,005</w:t>
            </w:r>
          </w:p>
        </w:tc>
        <w:tc>
          <w:tcPr>
            <w:tcW w:w="742" w:type="dxa"/>
            <w:tcBorders>
              <w:top w:val="nil"/>
            </w:tcBorders>
            <w:vAlign w:val="bottom"/>
          </w:tcPr>
          <w:p w14:paraId="37A1F400"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-0,857</w:t>
            </w:r>
          </w:p>
        </w:tc>
        <w:tc>
          <w:tcPr>
            <w:tcW w:w="854" w:type="dxa"/>
            <w:tcBorders>
              <w:top w:val="nil"/>
            </w:tcBorders>
            <w:vAlign w:val="bottom"/>
          </w:tcPr>
          <w:p w14:paraId="5B1A840F"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3,978</w:t>
            </w:r>
          </w:p>
        </w:tc>
        <w:tc>
          <w:tcPr>
            <w:tcW w:w="882" w:type="dxa"/>
            <w:tcBorders>
              <w:top w:val="nil"/>
            </w:tcBorders>
            <w:vAlign w:val="bottom"/>
          </w:tcPr>
          <w:p w14:paraId="2349080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-0,979</w:t>
            </w:r>
          </w:p>
        </w:tc>
        <w:tc>
          <w:tcPr>
            <w:tcW w:w="910" w:type="dxa"/>
            <w:tcBorders>
              <w:top w:val="nil"/>
            </w:tcBorders>
            <w:vAlign w:val="bottom"/>
          </w:tcPr>
          <w:p w14:paraId="43C66A9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895" w:type="dxa"/>
            <w:tcBorders>
              <w:top w:val="nil"/>
            </w:tcBorders>
          </w:tcPr>
          <w:p w14:paraId="2DF4A9A1"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770" w:type="dxa"/>
            <w:tcBorders>
              <w:top w:val="nil"/>
            </w:tcBorders>
          </w:tcPr>
          <w:p w14:paraId="1E1C5FDB"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-0,003</w:t>
            </w:r>
          </w:p>
        </w:tc>
        <w:tc>
          <w:tcPr>
            <w:tcW w:w="770" w:type="dxa"/>
            <w:tcBorders>
              <w:top w:val="nil"/>
            </w:tcBorders>
          </w:tcPr>
          <w:p w14:paraId="41960A4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0,017</w:t>
            </w:r>
          </w:p>
        </w:tc>
        <w:tc>
          <w:tcPr>
            <w:tcW w:w="896" w:type="dxa"/>
            <w:tcBorders>
              <w:top w:val="nil"/>
            </w:tcBorders>
          </w:tcPr>
          <w:p w14:paraId="34154F10"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0,083</w:t>
            </w:r>
          </w:p>
        </w:tc>
      </w:tr>
      <w:tr w:rsidR="007C0625" w:rsidRPr="00395FAB" w14:paraId="013437E5" w14:textId="77777777" w:rsidTr="00345E6A">
        <w:trPr>
          <w:jc w:val="center"/>
        </w:trPr>
        <w:tc>
          <w:tcPr>
            <w:tcW w:w="5052" w:type="dxa"/>
            <w:gridSpan w:val="6"/>
          </w:tcPr>
          <w:p w14:paraId="42BED1DC" w14:textId="77777777" w:rsidR="007C0625" w:rsidRPr="00395FAB" w:rsidRDefault="007C0625" w:rsidP="00C2461C">
            <w:pPr>
              <w:rPr>
                <w:rFonts w:ascii="Times New Roman" w:hAnsi="Times New Roman" w:cs="Times New Roman"/>
                <w:sz w:val="20"/>
                <w:szCs w:val="20"/>
              </w:rPr>
            </w:pPr>
            <w:r w:rsidRPr="00395FAB">
              <w:rPr>
                <w:rFonts w:ascii="Times New Roman" w:hAnsi="Times New Roman" w:cs="Times New Roman"/>
                <w:sz w:val="20"/>
                <w:szCs w:val="20"/>
              </w:rPr>
              <w:lastRenderedPageBreak/>
              <w:t>PAINEL B – Painel Desbalanceado (Variáveis brutas)</w:t>
            </w:r>
          </w:p>
        </w:tc>
        <w:tc>
          <w:tcPr>
            <w:tcW w:w="895" w:type="dxa"/>
          </w:tcPr>
          <w:p w14:paraId="2D85BA1E" w14:textId="77777777" w:rsidR="007C0625" w:rsidRPr="00395FAB" w:rsidRDefault="007C0625" w:rsidP="00C2461C">
            <w:pPr>
              <w:jc w:val="center"/>
              <w:rPr>
                <w:rFonts w:ascii="Times New Roman" w:hAnsi="Times New Roman" w:cs="Times New Roman"/>
                <w:sz w:val="20"/>
                <w:szCs w:val="20"/>
              </w:rPr>
            </w:pPr>
          </w:p>
        </w:tc>
        <w:tc>
          <w:tcPr>
            <w:tcW w:w="770" w:type="dxa"/>
          </w:tcPr>
          <w:p w14:paraId="7E41D887" w14:textId="77777777" w:rsidR="007C0625" w:rsidRPr="00395FAB" w:rsidRDefault="007C0625" w:rsidP="00C2461C">
            <w:pPr>
              <w:jc w:val="center"/>
              <w:rPr>
                <w:rFonts w:ascii="Times New Roman" w:hAnsi="Times New Roman" w:cs="Times New Roman"/>
                <w:sz w:val="20"/>
                <w:szCs w:val="20"/>
              </w:rPr>
            </w:pPr>
          </w:p>
        </w:tc>
        <w:tc>
          <w:tcPr>
            <w:tcW w:w="770" w:type="dxa"/>
          </w:tcPr>
          <w:p w14:paraId="3F1CA5C2" w14:textId="77777777" w:rsidR="007C0625" w:rsidRPr="00395FAB" w:rsidRDefault="007C0625" w:rsidP="00C2461C">
            <w:pPr>
              <w:jc w:val="center"/>
              <w:rPr>
                <w:rFonts w:ascii="Times New Roman" w:hAnsi="Times New Roman" w:cs="Times New Roman"/>
                <w:sz w:val="20"/>
                <w:szCs w:val="20"/>
              </w:rPr>
            </w:pPr>
          </w:p>
        </w:tc>
        <w:tc>
          <w:tcPr>
            <w:tcW w:w="896" w:type="dxa"/>
          </w:tcPr>
          <w:p w14:paraId="490FE0E9" w14:textId="77777777" w:rsidR="007C0625" w:rsidRPr="00395FAB" w:rsidRDefault="007C0625" w:rsidP="00C2461C">
            <w:pPr>
              <w:jc w:val="center"/>
              <w:rPr>
                <w:rFonts w:ascii="Times New Roman" w:hAnsi="Times New Roman" w:cs="Times New Roman"/>
                <w:sz w:val="20"/>
                <w:szCs w:val="20"/>
              </w:rPr>
            </w:pPr>
          </w:p>
        </w:tc>
      </w:tr>
      <w:tr w:rsidR="007C0625" w:rsidRPr="00395FAB" w14:paraId="1258E984" w14:textId="77777777" w:rsidTr="00345E6A">
        <w:trPr>
          <w:jc w:val="center"/>
        </w:trPr>
        <w:tc>
          <w:tcPr>
            <w:tcW w:w="992" w:type="dxa"/>
            <w:tcBorders>
              <w:bottom w:val="single" w:sz="4" w:space="0" w:color="auto"/>
            </w:tcBorders>
          </w:tcPr>
          <w:p w14:paraId="4B50F939" w14:textId="77777777" w:rsidR="007C0625" w:rsidRPr="00395FAB" w:rsidRDefault="007C0625" w:rsidP="00C2461C">
            <w:pPr>
              <w:jc w:val="both"/>
              <w:rPr>
                <w:rFonts w:ascii="Times New Roman" w:hAnsi="Times New Roman" w:cs="Times New Roman"/>
                <w:sz w:val="20"/>
                <w:szCs w:val="20"/>
              </w:rPr>
            </w:pPr>
          </w:p>
        </w:tc>
        <w:tc>
          <w:tcPr>
            <w:tcW w:w="672" w:type="dxa"/>
            <w:tcBorders>
              <w:bottom w:val="single" w:sz="4" w:space="0" w:color="auto"/>
            </w:tcBorders>
          </w:tcPr>
          <w:p w14:paraId="7C75DFEA"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D/A</w:t>
            </w:r>
          </w:p>
        </w:tc>
        <w:tc>
          <w:tcPr>
            <w:tcW w:w="742" w:type="dxa"/>
            <w:tcBorders>
              <w:bottom w:val="single" w:sz="4" w:space="0" w:color="auto"/>
            </w:tcBorders>
          </w:tcPr>
          <w:p w14:paraId="511C0200"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ROA</w:t>
            </w:r>
          </w:p>
        </w:tc>
        <w:tc>
          <w:tcPr>
            <w:tcW w:w="854" w:type="dxa"/>
            <w:tcBorders>
              <w:bottom w:val="single" w:sz="4" w:space="0" w:color="auto"/>
            </w:tcBorders>
          </w:tcPr>
          <w:p w14:paraId="3A85ACB7"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LogAti</w:t>
            </w:r>
          </w:p>
        </w:tc>
        <w:tc>
          <w:tcPr>
            <w:tcW w:w="882" w:type="dxa"/>
            <w:tcBorders>
              <w:bottom w:val="single" w:sz="4" w:space="0" w:color="auto"/>
            </w:tcBorders>
          </w:tcPr>
          <w:p w14:paraId="353FC5D8"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CrescAt</w:t>
            </w:r>
          </w:p>
        </w:tc>
        <w:tc>
          <w:tcPr>
            <w:tcW w:w="910" w:type="dxa"/>
            <w:tcBorders>
              <w:bottom w:val="single" w:sz="4" w:space="0" w:color="auto"/>
            </w:tcBorders>
          </w:tcPr>
          <w:p w14:paraId="6A95AF61"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Emp/At</w:t>
            </w:r>
          </w:p>
        </w:tc>
        <w:tc>
          <w:tcPr>
            <w:tcW w:w="895" w:type="dxa"/>
            <w:tcBorders>
              <w:bottom w:val="single" w:sz="4" w:space="0" w:color="auto"/>
            </w:tcBorders>
          </w:tcPr>
          <w:p w14:paraId="0B761A1F"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Dep/Pas</w:t>
            </w:r>
          </w:p>
        </w:tc>
        <w:tc>
          <w:tcPr>
            <w:tcW w:w="770" w:type="dxa"/>
            <w:tcBorders>
              <w:bottom w:val="single" w:sz="4" w:space="0" w:color="auto"/>
            </w:tcBorders>
          </w:tcPr>
          <w:p w14:paraId="4CD4D0BB"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PIB</w:t>
            </w:r>
          </w:p>
        </w:tc>
        <w:tc>
          <w:tcPr>
            <w:tcW w:w="770" w:type="dxa"/>
            <w:tcBorders>
              <w:bottom w:val="single" w:sz="4" w:space="0" w:color="auto"/>
            </w:tcBorders>
          </w:tcPr>
          <w:p w14:paraId="1B587BFD"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IPCA</w:t>
            </w:r>
          </w:p>
        </w:tc>
        <w:tc>
          <w:tcPr>
            <w:tcW w:w="896" w:type="dxa"/>
            <w:tcBorders>
              <w:bottom w:val="single" w:sz="4" w:space="0" w:color="auto"/>
            </w:tcBorders>
          </w:tcPr>
          <w:p w14:paraId="2C995B86"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SELIC</w:t>
            </w:r>
          </w:p>
        </w:tc>
      </w:tr>
      <w:tr w:rsidR="007C0625" w:rsidRPr="00395FAB" w14:paraId="43544EB9" w14:textId="77777777" w:rsidTr="00345E6A">
        <w:trPr>
          <w:jc w:val="center"/>
        </w:trPr>
        <w:tc>
          <w:tcPr>
            <w:tcW w:w="992" w:type="dxa"/>
            <w:tcBorders>
              <w:bottom w:val="nil"/>
            </w:tcBorders>
          </w:tcPr>
          <w:p w14:paraId="78032B84"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Média</w:t>
            </w:r>
          </w:p>
        </w:tc>
        <w:tc>
          <w:tcPr>
            <w:tcW w:w="672" w:type="dxa"/>
            <w:tcBorders>
              <w:bottom w:val="nil"/>
            </w:tcBorders>
            <w:vAlign w:val="bottom"/>
          </w:tcPr>
          <w:p w14:paraId="2CA95A7E"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0,739</w:t>
            </w:r>
          </w:p>
        </w:tc>
        <w:tc>
          <w:tcPr>
            <w:tcW w:w="742" w:type="dxa"/>
            <w:tcBorders>
              <w:bottom w:val="nil"/>
            </w:tcBorders>
            <w:vAlign w:val="bottom"/>
          </w:tcPr>
          <w:p w14:paraId="7801713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0,006</w:t>
            </w:r>
          </w:p>
        </w:tc>
        <w:tc>
          <w:tcPr>
            <w:tcW w:w="854" w:type="dxa"/>
            <w:tcBorders>
              <w:bottom w:val="nil"/>
            </w:tcBorders>
            <w:vAlign w:val="bottom"/>
          </w:tcPr>
          <w:p w14:paraId="6A60EB7F"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5,982</w:t>
            </w:r>
          </w:p>
        </w:tc>
        <w:tc>
          <w:tcPr>
            <w:tcW w:w="882" w:type="dxa"/>
            <w:tcBorders>
              <w:bottom w:val="nil"/>
            </w:tcBorders>
            <w:vAlign w:val="bottom"/>
          </w:tcPr>
          <w:p w14:paraId="2337610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0,645</w:t>
            </w:r>
          </w:p>
        </w:tc>
        <w:tc>
          <w:tcPr>
            <w:tcW w:w="910" w:type="dxa"/>
            <w:tcBorders>
              <w:bottom w:val="nil"/>
            </w:tcBorders>
            <w:vAlign w:val="bottom"/>
          </w:tcPr>
          <w:p w14:paraId="1E92D12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0,312</w:t>
            </w:r>
          </w:p>
        </w:tc>
        <w:tc>
          <w:tcPr>
            <w:tcW w:w="895" w:type="dxa"/>
            <w:tcBorders>
              <w:bottom w:val="nil"/>
            </w:tcBorders>
          </w:tcPr>
          <w:p w14:paraId="016E2C5F"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0,430</w:t>
            </w:r>
          </w:p>
        </w:tc>
        <w:tc>
          <w:tcPr>
            <w:tcW w:w="770" w:type="dxa"/>
            <w:tcBorders>
              <w:bottom w:val="nil"/>
            </w:tcBorders>
          </w:tcPr>
          <w:p w14:paraId="7AA8E744"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0,028</w:t>
            </w:r>
          </w:p>
        </w:tc>
        <w:tc>
          <w:tcPr>
            <w:tcW w:w="770" w:type="dxa"/>
            <w:tcBorders>
              <w:bottom w:val="nil"/>
            </w:tcBorders>
          </w:tcPr>
          <w:p w14:paraId="3CBD02BB"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0,065</w:t>
            </w:r>
          </w:p>
        </w:tc>
        <w:tc>
          <w:tcPr>
            <w:tcW w:w="896" w:type="dxa"/>
            <w:tcBorders>
              <w:bottom w:val="nil"/>
            </w:tcBorders>
          </w:tcPr>
          <w:p w14:paraId="3A1E9C0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0,177</w:t>
            </w:r>
          </w:p>
        </w:tc>
      </w:tr>
      <w:tr w:rsidR="007C0625" w:rsidRPr="00395FAB" w14:paraId="4A026F55" w14:textId="77777777" w:rsidTr="00345E6A">
        <w:trPr>
          <w:jc w:val="center"/>
        </w:trPr>
        <w:tc>
          <w:tcPr>
            <w:tcW w:w="992" w:type="dxa"/>
            <w:tcBorders>
              <w:top w:val="nil"/>
              <w:bottom w:val="nil"/>
            </w:tcBorders>
          </w:tcPr>
          <w:p w14:paraId="145CE00F"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Mediana</w:t>
            </w:r>
          </w:p>
        </w:tc>
        <w:tc>
          <w:tcPr>
            <w:tcW w:w="672" w:type="dxa"/>
            <w:tcBorders>
              <w:top w:val="nil"/>
              <w:bottom w:val="nil"/>
            </w:tcBorders>
            <w:vAlign w:val="bottom"/>
          </w:tcPr>
          <w:p w14:paraId="4A0C528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0,825</w:t>
            </w:r>
          </w:p>
        </w:tc>
        <w:tc>
          <w:tcPr>
            <w:tcW w:w="742" w:type="dxa"/>
            <w:tcBorders>
              <w:top w:val="nil"/>
              <w:bottom w:val="nil"/>
            </w:tcBorders>
            <w:vAlign w:val="bottom"/>
          </w:tcPr>
          <w:p w14:paraId="55C7C06A"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0,012</w:t>
            </w:r>
          </w:p>
        </w:tc>
        <w:tc>
          <w:tcPr>
            <w:tcW w:w="854" w:type="dxa"/>
            <w:tcBorders>
              <w:top w:val="nil"/>
              <w:bottom w:val="nil"/>
            </w:tcBorders>
            <w:vAlign w:val="bottom"/>
          </w:tcPr>
          <w:p w14:paraId="6B2D9080"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5,991</w:t>
            </w:r>
          </w:p>
        </w:tc>
        <w:tc>
          <w:tcPr>
            <w:tcW w:w="882" w:type="dxa"/>
            <w:tcBorders>
              <w:top w:val="nil"/>
              <w:bottom w:val="nil"/>
            </w:tcBorders>
            <w:vAlign w:val="bottom"/>
          </w:tcPr>
          <w:p w14:paraId="4E0D713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0,147</w:t>
            </w:r>
          </w:p>
        </w:tc>
        <w:tc>
          <w:tcPr>
            <w:tcW w:w="910" w:type="dxa"/>
            <w:tcBorders>
              <w:top w:val="nil"/>
              <w:bottom w:val="nil"/>
            </w:tcBorders>
            <w:vAlign w:val="bottom"/>
          </w:tcPr>
          <w:p w14:paraId="74BD286A"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0,275</w:t>
            </w:r>
          </w:p>
        </w:tc>
        <w:tc>
          <w:tcPr>
            <w:tcW w:w="895" w:type="dxa"/>
            <w:tcBorders>
              <w:top w:val="nil"/>
              <w:bottom w:val="nil"/>
            </w:tcBorders>
          </w:tcPr>
          <w:p w14:paraId="17C457C2"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0,416</w:t>
            </w:r>
          </w:p>
        </w:tc>
        <w:tc>
          <w:tcPr>
            <w:tcW w:w="770" w:type="dxa"/>
            <w:tcBorders>
              <w:top w:val="nil"/>
              <w:bottom w:val="nil"/>
            </w:tcBorders>
          </w:tcPr>
          <w:p w14:paraId="62675AA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0,027</w:t>
            </w:r>
          </w:p>
        </w:tc>
        <w:tc>
          <w:tcPr>
            <w:tcW w:w="770" w:type="dxa"/>
            <w:tcBorders>
              <w:top w:val="nil"/>
              <w:bottom w:val="nil"/>
            </w:tcBorders>
          </w:tcPr>
          <w:p w14:paraId="320DCD2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0,059</w:t>
            </w:r>
          </w:p>
        </w:tc>
        <w:tc>
          <w:tcPr>
            <w:tcW w:w="896" w:type="dxa"/>
            <w:tcBorders>
              <w:top w:val="nil"/>
              <w:bottom w:val="nil"/>
            </w:tcBorders>
          </w:tcPr>
          <w:p w14:paraId="568511A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0,173</w:t>
            </w:r>
          </w:p>
        </w:tc>
      </w:tr>
      <w:tr w:rsidR="007C0625" w:rsidRPr="00395FAB" w14:paraId="6455B79B" w14:textId="77777777" w:rsidTr="00345E6A">
        <w:trPr>
          <w:jc w:val="center"/>
        </w:trPr>
        <w:tc>
          <w:tcPr>
            <w:tcW w:w="992" w:type="dxa"/>
            <w:tcBorders>
              <w:top w:val="nil"/>
              <w:bottom w:val="nil"/>
            </w:tcBorders>
          </w:tcPr>
          <w:p w14:paraId="5A75F6E7"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Desvio-Padrão</w:t>
            </w:r>
          </w:p>
        </w:tc>
        <w:tc>
          <w:tcPr>
            <w:tcW w:w="672" w:type="dxa"/>
            <w:tcBorders>
              <w:top w:val="nil"/>
              <w:bottom w:val="nil"/>
            </w:tcBorders>
            <w:vAlign w:val="center"/>
          </w:tcPr>
          <w:p w14:paraId="7A8DF2C0"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0,347</w:t>
            </w:r>
          </w:p>
        </w:tc>
        <w:tc>
          <w:tcPr>
            <w:tcW w:w="742" w:type="dxa"/>
            <w:tcBorders>
              <w:top w:val="nil"/>
              <w:bottom w:val="nil"/>
            </w:tcBorders>
            <w:vAlign w:val="center"/>
          </w:tcPr>
          <w:p w14:paraId="32A6B31A"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0,241</w:t>
            </w:r>
          </w:p>
        </w:tc>
        <w:tc>
          <w:tcPr>
            <w:tcW w:w="854" w:type="dxa"/>
            <w:tcBorders>
              <w:top w:val="nil"/>
              <w:bottom w:val="nil"/>
            </w:tcBorders>
            <w:vAlign w:val="center"/>
          </w:tcPr>
          <w:p w14:paraId="4031AFF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0,963</w:t>
            </w:r>
          </w:p>
        </w:tc>
        <w:tc>
          <w:tcPr>
            <w:tcW w:w="882" w:type="dxa"/>
            <w:tcBorders>
              <w:top w:val="nil"/>
              <w:bottom w:val="nil"/>
            </w:tcBorders>
            <w:vAlign w:val="center"/>
          </w:tcPr>
          <w:p w14:paraId="4D3816BB"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13,665</w:t>
            </w:r>
          </w:p>
        </w:tc>
        <w:tc>
          <w:tcPr>
            <w:tcW w:w="910" w:type="dxa"/>
            <w:tcBorders>
              <w:top w:val="nil"/>
              <w:bottom w:val="nil"/>
            </w:tcBorders>
            <w:vAlign w:val="center"/>
          </w:tcPr>
          <w:p w14:paraId="7BCCDDC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0,261</w:t>
            </w:r>
          </w:p>
        </w:tc>
        <w:tc>
          <w:tcPr>
            <w:tcW w:w="895" w:type="dxa"/>
            <w:tcBorders>
              <w:top w:val="nil"/>
              <w:bottom w:val="nil"/>
            </w:tcBorders>
            <w:vAlign w:val="center"/>
          </w:tcPr>
          <w:p w14:paraId="7D64C699"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0,301</w:t>
            </w:r>
          </w:p>
        </w:tc>
        <w:tc>
          <w:tcPr>
            <w:tcW w:w="770" w:type="dxa"/>
            <w:tcBorders>
              <w:top w:val="nil"/>
              <w:bottom w:val="nil"/>
            </w:tcBorders>
            <w:vAlign w:val="center"/>
          </w:tcPr>
          <w:p w14:paraId="1E23DB7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0,021</w:t>
            </w:r>
          </w:p>
        </w:tc>
        <w:tc>
          <w:tcPr>
            <w:tcW w:w="770" w:type="dxa"/>
            <w:tcBorders>
              <w:top w:val="nil"/>
              <w:bottom w:val="nil"/>
            </w:tcBorders>
            <w:vAlign w:val="center"/>
          </w:tcPr>
          <w:p w14:paraId="60A8004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0,025</w:t>
            </w:r>
          </w:p>
        </w:tc>
        <w:tc>
          <w:tcPr>
            <w:tcW w:w="896" w:type="dxa"/>
            <w:tcBorders>
              <w:top w:val="nil"/>
              <w:bottom w:val="nil"/>
            </w:tcBorders>
            <w:vAlign w:val="center"/>
          </w:tcPr>
          <w:p w14:paraId="281FBB00"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0,067</w:t>
            </w:r>
          </w:p>
        </w:tc>
      </w:tr>
      <w:tr w:rsidR="007C0625" w:rsidRPr="00395FAB" w14:paraId="5CBD909B" w14:textId="77777777" w:rsidTr="00345E6A">
        <w:trPr>
          <w:jc w:val="center"/>
        </w:trPr>
        <w:tc>
          <w:tcPr>
            <w:tcW w:w="992" w:type="dxa"/>
            <w:tcBorders>
              <w:top w:val="nil"/>
              <w:bottom w:val="nil"/>
            </w:tcBorders>
          </w:tcPr>
          <w:p w14:paraId="47718F86"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Máximo</w:t>
            </w:r>
          </w:p>
        </w:tc>
        <w:tc>
          <w:tcPr>
            <w:tcW w:w="672" w:type="dxa"/>
            <w:tcBorders>
              <w:top w:val="nil"/>
              <w:bottom w:val="nil"/>
            </w:tcBorders>
            <w:vAlign w:val="bottom"/>
          </w:tcPr>
          <w:p w14:paraId="6A9BD5D4"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9,549</w:t>
            </w:r>
          </w:p>
        </w:tc>
        <w:tc>
          <w:tcPr>
            <w:tcW w:w="742" w:type="dxa"/>
            <w:tcBorders>
              <w:top w:val="nil"/>
              <w:bottom w:val="nil"/>
            </w:tcBorders>
            <w:vAlign w:val="bottom"/>
          </w:tcPr>
          <w:p w14:paraId="77671129"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7,203</w:t>
            </w:r>
          </w:p>
        </w:tc>
        <w:tc>
          <w:tcPr>
            <w:tcW w:w="854" w:type="dxa"/>
            <w:tcBorders>
              <w:top w:val="nil"/>
              <w:bottom w:val="nil"/>
            </w:tcBorders>
            <w:vAlign w:val="bottom"/>
          </w:tcPr>
          <w:p w14:paraId="480A485B"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9,049</w:t>
            </w:r>
          </w:p>
        </w:tc>
        <w:tc>
          <w:tcPr>
            <w:tcW w:w="882" w:type="dxa"/>
            <w:tcBorders>
              <w:top w:val="nil"/>
              <w:bottom w:val="nil"/>
            </w:tcBorders>
            <w:vAlign w:val="bottom"/>
          </w:tcPr>
          <w:p w14:paraId="4D86ABA4"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739,952</w:t>
            </w:r>
          </w:p>
        </w:tc>
        <w:tc>
          <w:tcPr>
            <w:tcW w:w="910" w:type="dxa"/>
            <w:tcBorders>
              <w:top w:val="nil"/>
              <w:bottom w:val="nil"/>
            </w:tcBorders>
            <w:vAlign w:val="bottom"/>
          </w:tcPr>
          <w:p w14:paraId="42739196"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0,980</w:t>
            </w:r>
          </w:p>
        </w:tc>
        <w:tc>
          <w:tcPr>
            <w:tcW w:w="895" w:type="dxa"/>
            <w:tcBorders>
              <w:top w:val="nil"/>
              <w:bottom w:val="nil"/>
            </w:tcBorders>
          </w:tcPr>
          <w:p w14:paraId="66A50D9E"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770" w:type="dxa"/>
            <w:tcBorders>
              <w:top w:val="nil"/>
              <w:bottom w:val="nil"/>
            </w:tcBorders>
          </w:tcPr>
          <w:p w14:paraId="6508565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0,075</w:t>
            </w:r>
          </w:p>
        </w:tc>
        <w:tc>
          <w:tcPr>
            <w:tcW w:w="770" w:type="dxa"/>
            <w:tcBorders>
              <w:top w:val="nil"/>
              <w:bottom w:val="nil"/>
            </w:tcBorders>
          </w:tcPr>
          <w:p w14:paraId="0BE52FAF"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0,125</w:t>
            </w:r>
          </w:p>
        </w:tc>
        <w:tc>
          <w:tcPr>
            <w:tcW w:w="896" w:type="dxa"/>
            <w:tcBorders>
              <w:top w:val="nil"/>
              <w:bottom w:val="nil"/>
            </w:tcBorders>
          </w:tcPr>
          <w:p w14:paraId="72630B8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0,288</w:t>
            </w:r>
          </w:p>
        </w:tc>
      </w:tr>
      <w:tr w:rsidR="007C0625" w:rsidRPr="00395FAB" w14:paraId="420F7A12" w14:textId="77777777" w:rsidTr="00345E6A">
        <w:trPr>
          <w:jc w:val="center"/>
        </w:trPr>
        <w:tc>
          <w:tcPr>
            <w:tcW w:w="992" w:type="dxa"/>
            <w:tcBorders>
              <w:top w:val="nil"/>
            </w:tcBorders>
          </w:tcPr>
          <w:p w14:paraId="6F61796D"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Mínimo</w:t>
            </w:r>
          </w:p>
        </w:tc>
        <w:tc>
          <w:tcPr>
            <w:tcW w:w="672" w:type="dxa"/>
            <w:tcBorders>
              <w:top w:val="nil"/>
            </w:tcBorders>
            <w:vAlign w:val="bottom"/>
          </w:tcPr>
          <w:p w14:paraId="097C32C0"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742" w:type="dxa"/>
            <w:tcBorders>
              <w:top w:val="nil"/>
            </w:tcBorders>
            <w:vAlign w:val="bottom"/>
          </w:tcPr>
          <w:p w14:paraId="7CB3B5CE"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-7,781</w:t>
            </w:r>
          </w:p>
        </w:tc>
        <w:tc>
          <w:tcPr>
            <w:tcW w:w="854" w:type="dxa"/>
            <w:tcBorders>
              <w:top w:val="nil"/>
            </w:tcBorders>
            <w:vAlign w:val="bottom"/>
          </w:tcPr>
          <w:p w14:paraId="155299A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2,535</w:t>
            </w:r>
          </w:p>
        </w:tc>
        <w:tc>
          <w:tcPr>
            <w:tcW w:w="882" w:type="dxa"/>
            <w:tcBorders>
              <w:top w:val="nil"/>
            </w:tcBorders>
            <w:vAlign w:val="bottom"/>
          </w:tcPr>
          <w:p w14:paraId="1CDE1C7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-0,999</w:t>
            </w:r>
          </w:p>
        </w:tc>
        <w:tc>
          <w:tcPr>
            <w:tcW w:w="910" w:type="dxa"/>
            <w:tcBorders>
              <w:top w:val="nil"/>
            </w:tcBorders>
            <w:vAlign w:val="bottom"/>
          </w:tcPr>
          <w:p w14:paraId="0FF62DC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895" w:type="dxa"/>
            <w:tcBorders>
              <w:top w:val="nil"/>
            </w:tcBorders>
          </w:tcPr>
          <w:p w14:paraId="72465E5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770" w:type="dxa"/>
            <w:tcBorders>
              <w:top w:val="nil"/>
            </w:tcBorders>
          </w:tcPr>
          <w:p w14:paraId="109E1AE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-0,003</w:t>
            </w:r>
          </w:p>
        </w:tc>
        <w:tc>
          <w:tcPr>
            <w:tcW w:w="770" w:type="dxa"/>
            <w:tcBorders>
              <w:top w:val="nil"/>
            </w:tcBorders>
          </w:tcPr>
          <w:p w14:paraId="1C7AEDF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0,017</w:t>
            </w:r>
          </w:p>
        </w:tc>
        <w:tc>
          <w:tcPr>
            <w:tcW w:w="896" w:type="dxa"/>
            <w:tcBorders>
              <w:top w:val="nil"/>
            </w:tcBorders>
          </w:tcPr>
          <w:p w14:paraId="330781E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0,083</w:t>
            </w:r>
          </w:p>
        </w:tc>
      </w:tr>
      <w:tr w:rsidR="007C0625" w:rsidRPr="00395FAB" w14:paraId="112950BF" w14:textId="77777777" w:rsidTr="00345E6A">
        <w:trPr>
          <w:jc w:val="center"/>
        </w:trPr>
        <w:tc>
          <w:tcPr>
            <w:tcW w:w="8383" w:type="dxa"/>
            <w:gridSpan w:val="10"/>
          </w:tcPr>
          <w:p w14:paraId="66CAE7BE" w14:textId="77777777" w:rsidR="007C0625" w:rsidRPr="00395FAB" w:rsidRDefault="007C0625" w:rsidP="00C2461C">
            <w:pPr>
              <w:rPr>
                <w:rFonts w:ascii="Times New Roman" w:hAnsi="Times New Roman" w:cs="Times New Roman"/>
                <w:sz w:val="20"/>
                <w:szCs w:val="20"/>
              </w:rPr>
            </w:pPr>
            <w:r w:rsidRPr="00395FAB">
              <w:rPr>
                <w:rFonts w:ascii="Times New Roman" w:hAnsi="Times New Roman" w:cs="Times New Roman"/>
                <w:sz w:val="20"/>
                <w:szCs w:val="20"/>
              </w:rPr>
              <w:t>PAINEL C – Painel Balanceado (Variáveis winsorizadas</w:t>
            </w:r>
            <w:r>
              <w:rPr>
                <w:rFonts w:ascii="Times New Roman" w:hAnsi="Times New Roman" w:cs="Times New Roman"/>
                <w:sz w:val="20"/>
                <w:szCs w:val="20"/>
              </w:rPr>
              <w:t xml:space="preserve"> a </w:t>
            </w:r>
            <w:r w:rsidRPr="00395FAB">
              <w:rPr>
                <w:rFonts w:ascii="Times New Roman" w:hAnsi="Times New Roman" w:cs="Times New Roman"/>
                <w:sz w:val="20"/>
                <w:szCs w:val="20"/>
              </w:rPr>
              <w:t>1%)</w:t>
            </w:r>
          </w:p>
        </w:tc>
      </w:tr>
      <w:tr w:rsidR="007C0625" w:rsidRPr="00395FAB" w14:paraId="0A4C4D0C" w14:textId="77777777" w:rsidTr="00345E6A">
        <w:trPr>
          <w:jc w:val="center"/>
        </w:trPr>
        <w:tc>
          <w:tcPr>
            <w:tcW w:w="992" w:type="dxa"/>
            <w:tcBorders>
              <w:bottom w:val="single" w:sz="4" w:space="0" w:color="auto"/>
            </w:tcBorders>
          </w:tcPr>
          <w:p w14:paraId="790B785D" w14:textId="77777777" w:rsidR="007C0625" w:rsidRPr="00395FAB" w:rsidRDefault="007C0625" w:rsidP="00C2461C">
            <w:pPr>
              <w:jc w:val="both"/>
              <w:rPr>
                <w:rFonts w:ascii="Times New Roman" w:hAnsi="Times New Roman" w:cs="Times New Roman"/>
                <w:sz w:val="20"/>
                <w:szCs w:val="20"/>
              </w:rPr>
            </w:pPr>
          </w:p>
        </w:tc>
        <w:tc>
          <w:tcPr>
            <w:tcW w:w="672" w:type="dxa"/>
            <w:tcBorders>
              <w:bottom w:val="single" w:sz="4" w:space="0" w:color="auto"/>
            </w:tcBorders>
          </w:tcPr>
          <w:p w14:paraId="481584D7"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D/A</w:t>
            </w:r>
          </w:p>
        </w:tc>
        <w:tc>
          <w:tcPr>
            <w:tcW w:w="742" w:type="dxa"/>
            <w:tcBorders>
              <w:bottom w:val="single" w:sz="4" w:space="0" w:color="auto"/>
            </w:tcBorders>
          </w:tcPr>
          <w:p w14:paraId="7C960C16"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ROA</w:t>
            </w:r>
          </w:p>
        </w:tc>
        <w:tc>
          <w:tcPr>
            <w:tcW w:w="854" w:type="dxa"/>
            <w:tcBorders>
              <w:bottom w:val="single" w:sz="4" w:space="0" w:color="auto"/>
            </w:tcBorders>
          </w:tcPr>
          <w:p w14:paraId="235A9BFC"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LogAti</w:t>
            </w:r>
          </w:p>
        </w:tc>
        <w:tc>
          <w:tcPr>
            <w:tcW w:w="882" w:type="dxa"/>
            <w:tcBorders>
              <w:bottom w:val="single" w:sz="4" w:space="0" w:color="auto"/>
            </w:tcBorders>
          </w:tcPr>
          <w:p w14:paraId="661ECCEA"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CrescAt</w:t>
            </w:r>
          </w:p>
        </w:tc>
        <w:tc>
          <w:tcPr>
            <w:tcW w:w="910" w:type="dxa"/>
            <w:tcBorders>
              <w:bottom w:val="single" w:sz="4" w:space="0" w:color="auto"/>
            </w:tcBorders>
          </w:tcPr>
          <w:p w14:paraId="46A819F4"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Emp/At</w:t>
            </w:r>
          </w:p>
        </w:tc>
        <w:tc>
          <w:tcPr>
            <w:tcW w:w="895" w:type="dxa"/>
            <w:tcBorders>
              <w:bottom w:val="single" w:sz="4" w:space="0" w:color="auto"/>
            </w:tcBorders>
          </w:tcPr>
          <w:p w14:paraId="39F88387"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Dep/Pas</w:t>
            </w:r>
          </w:p>
        </w:tc>
        <w:tc>
          <w:tcPr>
            <w:tcW w:w="770" w:type="dxa"/>
            <w:tcBorders>
              <w:bottom w:val="single" w:sz="4" w:space="0" w:color="auto"/>
            </w:tcBorders>
          </w:tcPr>
          <w:p w14:paraId="0DDA9C60"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PIB</w:t>
            </w:r>
          </w:p>
        </w:tc>
        <w:tc>
          <w:tcPr>
            <w:tcW w:w="770" w:type="dxa"/>
            <w:tcBorders>
              <w:bottom w:val="single" w:sz="4" w:space="0" w:color="auto"/>
            </w:tcBorders>
          </w:tcPr>
          <w:p w14:paraId="16ADC98C"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IPCA</w:t>
            </w:r>
          </w:p>
        </w:tc>
        <w:tc>
          <w:tcPr>
            <w:tcW w:w="896" w:type="dxa"/>
            <w:tcBorders>
              <w:bottom w:val="single" w:sz="4" w:space="0" w:color="auto"/>
            </w:tcBorders>
          </w:tcPr>
          <w:p w14:paraId="2419BBF4"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SELIC</w:t>
            </w:r>
          </w:p>
        </w:tc>
      </w:tr>
      <w:tr w:rsidR="007C0625" w:rsidRPr="00395FAB" w14:paraId="7989524E" w14:textId="77777777" w:rsidTr="00345E6A">
        <w:trPr>
          <w:jc w:val="center"/>
        </w:trPr>
        <w:tc>
          <w:tcPr>
            <w:tcW w:w="992" w:type="dxa"/>
            <w:tcBorders>
              <w:bottom w:val="nil"/>
            </w:tcBorders>
          </w:tcPr>
          <w:p w14:paraId="2C346AD3" w14:textId="77777777" w:rsidR="007C0625" w:rsidRPr="000E03D2" w:rsidRDefault="007C0625" w:rsidP="00C2461C">
            <w:pPr>
              <w:jc w:val="both"/>
              <w:rPr>
                <w:rFonts w:ascii="Times New Roman" w:hAnsi="Times New Roman" w:cs="Times New Roman"/>
                <w:sz w:val="20"/>
                <w:szCs w:val="20"/>
              </w:rPr>
            </w:pPr>
            <w:r w:rsidRPr="000E03D2">
              <w:rPr>
                <w:rFonts w:ascii="Times New Roman" w:hAnsi="Times New Roman" w:cs="Times New Roman"/>
                <w:sz w:val="20"/>
                <w:szCs w:val="20"/>
              </w:rPr>
              <w:t>Média</w:t>
            </w:r>
          </w:p>
        </w:tc>
        <w:tc>
          <w:tcPr>
            <w:tcW w:w="672" w:type="dxa"/>
            <w:tcBorders>
              <w:bottom w:val="nil"/>
            </w:tcBorders>
            <w:vAlign w:val="bottom"/>
          </w:tcPr>
          <w:p w14:paraId="71F2F398"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0,733</w:t>
            </w:r>
          </w:p>
        </w:tc>
        <w:tc>
          <w:tcPr>
            <w:tcW w:w="742" w:type="dxa"/>
            <w:tcBorders>
              <w:bottom w:val="nil"/>
            </w:tcBorders>
            <w:vAlign w:val="bottom"/>
          </w:tcPr>
          <w:p w14:paraId="10781159"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0,015</w:t>
            </w:r>
          </w:p>
        </w:tc>
        <w:tc>
          <w:tcPr>
            <w:tcW w:w="854" w:type="dxa"/>
            <w:tcBorders>
              <w:bottom w:val="nil"/>
            </w:tcBorders>
            <w:vAlign w:val="bottom"/>
          </w:tcPr>
          <w:p w14:paraId="693E3203"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6,147</w:t>
            </w:r>
          </w:p>
        </w:tc>
        <w:tc>
          <w:tcPr>
            <w:tcW w:w="882" w:type="dxa"/>
            <w:tcBorders>
              <w:bottom w:val="nil"/>
            </w:tcBorders>
            <w:vAlign w:val="bottom"/>
          </w:tcPr>
          <w:p w14:paraId="12117D27"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0,249</w:t>
            </w:r>
          </w:p>
        </w:tc>
        <w:tc>
          <w:tcPr>
            <w:tcW w:w="910" w:type="dxa"/>
            <w:tcBorders>
              <w:bottom w:val="nil"/>
            </w:tcBorders>
            <w:vAlign w:val="bottom"/>
          </w:tcPr>
          <w:p w14:paraId="43FAEF66"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0,313</w:t>
            </w:r>
          </w:p>
        </w:tc>
        <w:tc>
          <w:tcPr>
            <w:tcW w:w="895" w:type="dxa"/>
            <w:tcBorders>
              <w:bottom w:val="nil"/>
            </w:tcBorders>
          </w:tcPr>
          <w:p w14:paraId="0CBEF8AB"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0,436</w:t>
            </w:r>
          </w:p>
        </w:tc>
        <w:tc>
          <w:tcPr>
            <w:tcW w:w="770" w:type="dxa"/>
            <w:tcBorders>
              <w:bottom w:val="nil"/>
            </w:tcBorders>
          </w:tcPr>
          <w:p w14:paraId="15567F15"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0,029</w:t>
            </w:r>
          </w:p>
        </w:tc>
        <w:tc>
          <w:tcPr>
            <w:tcW w:w="770" w:type="dxa"/>
            <w:tcBorders>
              <w:bottom w:val="nil"/>
            </w:tcBorders>
          </w:tcPr>
          <w:p w14:paraId="3255FCA1"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0,064</w:t>
            </w:r>
          </w:p>
        </w:tc>
        <w:tc>
          <w:tcPr>
            <w:tcW w:w="896" w:type="dxa"/>
            <w:tcBorders>
              <w:bottom w:val="nil"/>
            </w:tcBorders>
          </w:tcPr>
          <w:p w14:paraId="27C98894"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0,171</w:t>
            </w:r>
          </w:p>
        </w:tc>
      </w:tr>
      <w:tr w:rsidR="007C0625" w:rsidRPr="00395FAB" w14:paraId="390D4A54" w14:textId="77777777" w:rsidTr="00345E6A">
        <w:trPr>
          <w:jc w:val="center"/>
        </w:trPr>
        <w:tc>
          <w:tcPr>
            <w:tcW w:w="992" w:type="dxa"/>
            <w:tcBorders>
              <w:top w:val="nil"/>
              <w:bottom w:val="nil"/>
            </w:tcBorders>
          </w:tcPr>
          <w:p w14:paraId="2427718D" w14:textId="77777777" w:rsidR="007C0625" w:rsidRPr="000E03D2" w:rsidRDefault="007C0625" w:rsidP="00C2461C">
            <w:pPr>
              <w:jc w:val="both"/>
              <w:rPr>
                <w:rFonts w:ascii="Times New Roman" w:hAnsi="Times New Roman" w:cs="Times New Roman"/>
                <w:sz w:val="20"/>
                <w:szCs w:val="20"/>
              </w:rPr>
            </w:pPr>
            <w:r w:rsidRPr="000E03D2">
              <w:rPr>
                <w:rFonts w:ascii="Times New Roman" w:hAnsi="Times New Roman" w:cs="Times New Roman"/>
                <w:sz w:val="20"/>
                <w:szCs w:val="20"/>
              </w:rPr>
              <w:t>Mediana</w:t>
            </w:r>
          </w:p>
        </w:tc>
        <w:tc>
          <w:tcPr>
            <w:tcW w:w="672" w:type="dxa"/>
            <w:tcBorders>
              <w:top w:val="nil"/>
              <w:bottom w:val="nil"/>
            </w:tcBorders>
            <w:vAlign w:val="bottom"/>
          </w:tcPr>
          <w:p w14:paraId="183BE167"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0,834</w:t>
            </w:r>
          </w:p>
        </w:tc>
        <w:tc>
          <w:tcPr>
            <w:tcW w:w="742" w:type="dxa"/>
            <w:tcBorders>
              <w:top w:val="nil"/>
              <w:bottom w:val="nil"/>
            </w:tcBorders>
            <w:vAlign w:val="bottom"/>
          </w:tcPr>
          <w:p w14:paraId="4C42E237"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0,013</w:t>
            </w:r>
          </w:p>
        </w:tc>
        <w:tc>
          <w:tcPr>
            <w:tcW w:w="854" w:type="dxa"/>
            <w:tcBorders>
              <w:top w:val="nil"/>
              <w:bottom w:val="nil"/>
            </w:tcBorders>
            <w:vAlign w:val="bottom"/>
          </w:tcPr>
          <w:p w14:paraId="3CED41DB"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6,146</w:t>
            </w:r>
          </w:p>
        </w:tc>
        <w:tc>
          <w:tcPr>
            <w:tcW w:w="882" w:type="dxa"/>
            <w:tcBorders>
              <w:top w:val="nil"/>
              <w:bottom w:val="nil"/>
            </w:tcBorders>
            <w:vAlign w:val="bottom"/>
          </w:tcPr>
          <w:p w14:paraId="75043B48"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0,149</w:t>
            </w:r>
          </w:p>
        </w:tc>
        <w:tc>
          <w:tcPr>
            <w:tcW w:w="910" w:type="dxa"/>
            <w:tcBorders>
              <w:top w:val="nil"/>
              <w:bottom w:val="nil"/>
            </w:tcBorders>
            <w:vAlign w:val="bottom"/>
          </w:tcPr>
          <w:p w14:paraId="3E63395C"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0,283</w:t>
            </w:r>
          </w:p>
        </w:tc>
        <w:tc>
          <w:tcPr>
            <w:tcW w:w="895" w:type="dxa"/>
            <w:tcBorders>
              <w:top w:val="nil"/>
              <w:bottom w:val="nil"/>
            </w:tcBorders>
          </w:tcPr>
          <w:p w14:paraId="7F9C502A"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0,427</w:t>
            </w:r>
          </w:p>
        </w:tc>
        <w:tc>
          <w:tcPr>
            <w:tcW w:w="770" w:type="dxa"/>
            <w:tcBorders>
              <w:top w:val="nil"/>
              <w:bottom w:val="nil"/>
            </w:tcBorders>
          </w:tcPr>
          <w:p w14:paraId="2ABC61FB"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0,027</w:t>
            </w:r>
          </w:p>
        </w:tc>
        <w:tc>
          <w:tcPr>
            <w:tcW w:w="770" w:type="dxa"/>
            <w:tcBorders>
              <w:top w:val="nil"/>
              <w:bottom w:val="nil"/>
            </w:tcBorders>
          </w:tcPr>
          <w:p w14:paraId="1807A471"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0,059</w:t>
            </w:r>
          </w:p>
        </w:tc>
        <w:tc>
          <w:tcPr>
            <w:tcW w:w="896" w:type="dxa"/>
            <w:tcBorders>
              <w:top w:val="nil"/>
              <w:bottom w:val="nil"/>
            </w:tcBorders>
          </w:tcPr>
          <w:p w14:paraId="783C36C0"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0,173</w:t>
            </w:r>
          </w:p>
        </w:tc>
      </w:tr>
      <w:tr w:rsidR="007C0625" w:rsidRPr="00395FAB" w14:paraId="11FE2BE7" w14:textId="77777777" w:rsidTr="00345E6A">
        <w:trPr>
          <w:jc w:val="center"/>
        </w:trPr>
        <w:tc>
          <w:tcPr>
            <w:tcW w:w="992" w:type="dxa"/>
            <w:tcBorders>
              <w:top w:val="nil"/>
              <w:bottom w:val="nil"/>
            </w:tcBorders>
          </w:tcPr>
          <w:p w14:paraId="4DE9459E" w14:textId="77777777" w:rsidR="007C0625" w:rsidRPr="000E03D2" w:rsidRDefault="007C0625" w:rsidP="00C2461C">
            <w:pPr>
              <w:jc w:val="both"/>
              <w:rPr>
                <w:rFonts w:ascii="Times New Roman" w:hAnsi="Times New Roman" w:cs="Times New Roman"/>
                <w:sz w:val="20"/>
                <w:szCs w:val="20"/>
              </w:rPr>
            </w:pPr>
            <w:r w:rsidRPr="000E03D2">
              <w:rPr>
                <w:rFonts w:ascii="Times New Roman" w:hAnsi="Times New Roman" w:cs="Times New Roman"/>
                <w:sz w:val="20"/>
                <w:szCs w:val="20"/>
              </w:rPr>
              <w:t>Desvio-Padrão</w:t>
            </w:r>
          </w:p>
        </w:tc>
        <w:tc>
          <w:tcPr>
            <w:tcW w:w="672" w:type="dxa"/>
            <w:tcBorders>
              <w:top w:val="nil"/>
              <w:bottom w:val="nil"/>
            </w:tcBorders>
            <w:vAlign w:val="center"/>
          </w:tcPr>
          <w:p w14:paraId="092094B8"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0,256</w:t>
            </w:r>
          </w:p>
        </w:tc>
        <w:tc>
          <w:tcPr>
            <w:tcW w:w="742" w:type="dxa"/>
            <w:tcBorders>
              <w:top w:val="nil"/>
              <w:bottom w:val="nil"/>
            </w:tcBorders>
            <w:vAlign w:val="center"/>
          </w:tcPr>
          <w:p w14:paraId="41F613E9"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0,059</w:t>
            </w:r>
          </w:p>
        </w:tc>
        <w:tc>
          <w:tcPr>
            <w:tcW w:w="854" w:type="dxa"/>
            <w:tcBorders>
              <w:top w:val="nil"/>
              <w:bottom w:val="nil"/>
            </w:tcBorders>
            <w:vAlign w:val="center"/>
          </w:tcPr>
          <w:p w14:paraId="1866ACE9"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0,993</w:t>
            </w:r>
          </w:p>
        </w:tc>
        <w:tc>
          <w:tcPr>
            <w:tcW w:w="882" w:type="dxa"/>
            <w:tcBorders>
              <w:top w:val="nil"/>
              <w:bottom w:val="nil"/>
            </w:tcBorders>
            <w:vAlign w:val="center"/>
          </w:tcPr>
          <w:p w14:paraId="36042343"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0,606</w:t>
            </w:r>
          </w:p>
        </w:tc>
        <w:tc>
          <w:tcPr>
            <w:tcW w:w="910" w:type="dxa"/>
            <w:tcBorders>
              <w:top w:val="nil"/>
              <w:bottom w:val="nil"/>
            </w:tcBorders>
            <w:vAlign w:val="center"/>
          </w:tcPr>
          <w:p w14:paraId="57C99928"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0,240</w:t>
            </w:r>
          </w:p>
        </w:tc>
        <w:tc>
          <w:tcPr>
            <w:tcW w:w="895" w:type="dxa"/>
            <w:tcBorders>
              <w:top w:val="nil"/>
              <w:bottom w:val="nil"/>
            </w:tcBorders>
            <w:vAlign w:val="center"/>
          </w:tcPr>
          <w:p w14:paraId="6C0568DF"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0,291</w:t>
            </w:r>
          </w:p>
        </w:tc>
        <w:tc>
          <w:tcPr>
            <w:tcW w:w="770" w:type="dxa"/>
            <w:tcBorders>
              <w:top w:val="nil"/>
              <w:bottom w:val="nil"/>
            </w:tcBorders>
            <w:vAlign w:val="center"/>
          </w:tcPr>
          <w:p w14:paraId="26952EF2"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0,022</w:t>
            </w:r>
          </w:p>
        </w:tc>
        <w:tc>
          <w:tcPr>
            <w:tcW w:w="770" w:type="dxa"/>
            <w:tcBorders>
              <w:top w:val="nil"/>
              <w:bottom w:val="nil"/>
            </w:tcBorders>
            <w:vAlign w:val="center"/>
          </w:tcPr>
          <w:p w14:paraId="4436BE2C"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0,025</w:t>
            </w:r>
          </w:p>
        </w:tc>
        <w:tc>
          <w:tcPr>
            <w:tcW w:w="896" w:type="dxa"/>
            <w:tcBorders>
              <w:top w:val="nil"/>
              <w:bottom w:val="nil"/>
            </w:tcBorders>
            <w:vAlign w:val="center"/>
          </w:tcPr>
          <w:p w14:paraId="032A8A09"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0,065</w:t>
            </w:r>
          </w:p>
        </w:tc>
      </w:tr>
      <w:tr w:rsidR="007C0625" w:rsidRPr="00395FAB" w14:paraId="2EAACFC3" w14:textId="77777777" w:rsidTr="00345E6A">
        <w:trPr>
          <w:jc w:val="center"/>
        </w:trPr>
        <w:tc>
          <w:tcPr>
            <w:tcW w:w="992" w:type="dxa"/>
            <w:tcBorders>
              <w:top w:val="nil"/>
              <w:bottom w:val="nil"/>
            </w:tcBorders>
          </w:tcPr>
          <w:p w14:paraId="5EE6EBF9" w14:textId="77777777" w:rsidR="007C0625" w:rsidRPr="000E03D2" w:rsidRDefault="007C0625" w:rsidP="00C2461C">
            <w:pPr>
              <w:jc w:val="both"/>
              <w:rPr>
                <w:rFonts w:ascii="Times New Roman" w:hAnsi="Times New Roman" w:cs="Times New Roman"/>
                <w:sz w:val="20"/>
                <w:szCs w:val="20"/>
              </w:rPr>
            </w:pPr>
            <w:r w:rsidRPr="000E03D2">
              <w:rPr>
                <w:rFonts w:ascii="Times New Roman" w:hAnsi="Times New Roman" w:cs="Times New Roman"/>
                <w:sz w:val="20"/>
                <w:szCs w:val="20"/>
              </w:rPr>
              <w:t>Máximo</w:t>
            </w:r>
          </w:p>
        </w:tc>
        <w:tc>
          <w:tcPr>
            <w:tcW w:w="672" w:type="dxa"/>
            <w:tcBorders>
              <w:top w:val="nil"/>
              <w:bottom w:val="nil"/>
            </w:tcBorders>
            <w:vAlign w:val="bottom"/>
          </w:tcPr>
          <w:p w14:paraId="5BF7A2FF"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1,219</w:t>
            </w:r>
          </w:p>
        </w:tc>
        <w:tc>
          <w:tcPr>
            <w:tcW w:w="742" w:type="dxa"/>
            <w:tcBorders>
              <w:top w:val="nil"/>
              <w:bottom w:val="nil"/>
            </w:tcBorders>
            <w:vAlign w:val="bottom"/>
          </w:tcPr>
          <w:p w14:paraId="4634EDEC"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0,245</w:t>
            </w:r>
          </w:p>
        </w:tc>
        <w:tc>
          <w:tcPr>
            <w:tcW w:w="854" w:type="dxa"/>
            <w:tcBorders>
              <w:top w:val="nil"/>
              <w:bottom w:val="nil"/>
            </w:tcBorders>
            <w:vAlign w:val="bottom"/>
          </w:tcPr>
          <w:p w14:paraId="7798560A"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9,049</w:t>
            </w:r>
          </w:p>
        </w:tc>
        <w:tc>
          <w:tcPr>
            <w:tcW w:w="882" w:type="dxa"/>
            <w:tcBorders>
              <w:top w:val="nil"/>
              <w:bottom w:val="nil"/>
            </w:tcBorders>
            <w:vAlign w:val="bottom"/>
          </w:tcPr>
          <w:p w14:paraId="2A29BFA3"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4,849</w:t>
            </w:r>
          </w:p>
        </w:tc>
        <w:tc>
          <w:tcPr>
            <w:tcW w:w="910" w:type="dxa"/>
            <w:tcBorders>
              <w:top w:val="nil"/>
              <w:bottom w:val="nil"/>
            </w:tcBorders>
            <w:vAlign w:val="bottom"/>
          </w:tcPr>
          <w:p w14:paraId="1EA98963"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0,980</w:t>
            </w:r>
          </w:p>
        </w:tc>
        <w:tc>
          <w:tcPr>
            <w:tcW w:w="895" w:type="dxa"/>
            <w:tcBorders>
              <w:top w:val="nil"/>
              <w:bottom w:val="nil"/>
            </w:tcBorders>
          </w:tcPr>
          <w:p w14:paraId="69086524"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0,983</w:t>
            </w:r>
          </w:p>
        </w:tc>
        <w:tc>
          <w:tcPr>
            <w:tcW w:w="770" w:type="dxa"/>
            <w:tcBorders>
              <w:top w:val="nil"/>
              <w:bottom w:val="nil"/>
            </w:tcBorders>
          </w:tcPr>
          <w:p w14:paraId="021D0F8A"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0,075</w:t>
            </w:r>
          </w:p>
        </w:tc>
        <w:tc>
          <w:tcPr>
            <w:tcW w:w="770" w:type="dxa"/>
            <w:tcBorders>
              <w:top w:val="nil"/>
              <w:bottom w:val="nil"/>
            </w:tcBorders>
          </w:tcPr>
          <w:p w14:paraId="2FE9E578"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0,125</w:t>
            </w:r>
          </w:p>
        </w:tc>
        <w:tc>
          <w:tcPr>
            <w:tcW w:w="896" w:type="dxa"/>
            <w:tcBorders>
              <w:top w:val="nil"/>
              <w:bottom w:val="nil"/>
            </w:tcBorders>
          </w:tcPr>
          <w:p w14:paraId="3B14F940"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0,288</w:t>
            </w:r>
          </w:p>
        </w:tc>
      </w:tr>
      <w:tr w:rsidR="007C0625" w:rsidRPr="00395FAB" w14:paraId="4AF33121" w14:textId="77777777" w:rsidTr="00345E6A">
        <w:trPr>
          <w:jc w:val="center"/>
        </w:trPr>
        <w:tc>
          <w:tcPr>
            <w:tcW w:w="992" w:type="dxa"/>
            <w:tcBorders>
              <w:top w:val="nil"/>
            </w:tcBorders>
          </w:tcPr>
          <w:p w14:paraId="69F13890" w14:textId="77777777" w:rsidR="007C0625" w:rsidRPr="000E03D2" w:rsidRDefault="007C0625" w:rsidP="00C2461C">
            <w:pPr>
              <w:jc w:val="both"/>
              <w:rPr>
                <w:rFonts w:ascii="Times New Roman" w:hAnsi="Times New Roman" w:cs="Times New Roman"/>
                <w:sz w:val="20"/>
                <w:szCs w:val="20"/>
              </w:rPr>
            </w:pPr>
            <w:r w:rsidRPr="000E03D2">
              <w:rPr>
                <w:rFonts w:ascii="Times New Roman" w:hAnsi="Times New Roman" w:cs="Times New Roman"/>
                <w:sz w:val="20"/>
                <w:szCs w:val="20"/>
              </w:rPr>
              <w:t>Mínimo</w:t>
            </w:r>
          </w:p>
        </w:tc>
        <w:tc>
          <w:tcPr>
            <w:tcW w:w="672" w:type="dxa"/>
            <w:tcBorders>
              <w:top w:val="nil"/>
            </w:tcBorders>
            <w:vAlign w:val="bottom"/>
          </w:tcPr>
          <w:p w14:paraId="6613EC83"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0,014</w:t>
            </w:r>
          </w:p>
        </w:tc>
        <w:tc>
          <w:tcPr>
            <w:tcW w:w="742" w:type="dxa"/>
            <w:tcBorders>
              <w:top w:val="nil"/>
            </w:tcBorders>
            <w:vAlign w:val="bottom"/>
          </w:tcPr>
          <w:p w14:paraId="256555A0"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-0,405</w:t>
            </w:r>
          </w:p>
        </w:tc>
        <w:tc>
          <w:tcPr>
            <w:tcW w:w="854" w:type="dxa"/>
            <w:tcBorders>
              <w:top w:val="nil"/>
            </w:tcBorders>
            <w:vAlign w:val="bottom"/>
          </w:tcPr>
          <w:p w14:paraId="3B92B484"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3,978</w:t>
            </w:r>
          </w:p>
        </w:tc>
        <w:tc>
          <w:tcPr>
            <w:tcW w:w="882" w:type="dxa"/>
            <w:tcBorders>
              <w:top w:val="nil"/>
            </w:tcBorders>
            <w:vAlign w:val="bottom"/>
          </w:tcPr>
          <w:p w14:paraId="0623FA2F"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-0,819</w:t>
            </w:r>
          </w:p>
        </w:tc>
        <w:tc>
          <w:tcPr>
            <w:tcW w:w="910" w:type="dxa"/>
            <w:tcBorders>
              <w:top w:val="nil"/>
            </w:tcBorders>
            <w:vAlign w:val="bottom"/>
          </w:tcPr>
          <w:p w14:paraId="2D418277"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0,000</w:t>
            </w:r>
          </w:p>
        </w:tc>
        <w:tc>
          <w:tcPr>
            <w:tcW w:w="895" w:type="dxa"/>
            <w:tcBorders>
              <w:top w:val="nil"/>
            </w:tcBorders>
          </w:tcPr>
          <w:p w14:paraId="4536DB35"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0,000</w:t>
            </w:r>
          </w:p>
        </w:tc>
        <w:tc>
          <w:tcPr>
            <w:tcW w:w="770" w:type="dxa"/>
            <w:tcBorders>
              <w:top w:val="nil"/>
            </w:tcBorders>
          </w:tcPr>
          <w:p w14:paraId="64846122"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-0,003</w:t>
            </w:r>
          </w:p>
        </w:tc>
        <w:tc>
          <w:tcPr>
            <w:tcW w:w="770" w:type="dxa"/>
            <w:tcBorders>
              <w:top w:val="nil"/>
            </w:tcBorders>
          </w:tcPr>
          <w:p w14:paraId="458F503C"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0,017</w:t>
            </w:r>
          </w:p>
        </w:tc>
        <w:tc>
          <w:tcPr>
            <w:tcW w:w="896" w:type="dxa"/>
            <w:tcBorders>
              <w:top w:val="nil"/>
            </w:tcBorders>
          </w:tcPr>
          <w:p w14:paraId="2605E371" w14:textId="77777777" w:rsidR="007C0625" w:rsidRPr="000E03D2" w:rsidRDefault="007C0625" w:rsidP="00C2461C">
            <w:pPr>
              <w:jc w:val="center"/>
              <w:rPr>
                <w:rFonts w:ascii="Times New Roman" w:hAnsi="Times New Roman" w:cs="Times New Roman"/>
                <w:color w:val="000000"/>
                <w:sz w:val="20"/>
                <w:szCs w:val="20"/>
              </w:rPr>
            </w:pPr>
            <w:r w:rsidRPr="000E03D2">
              <w:rPr>
                <w:rFonts w:ascii="Times New Roman" w:hAnsi="Times New Roman" w:cs="Times New Roman"/>
                <w:color w:val="000000"/>
                <w:sz w:val="20"/>
                <w:szCs w:val="20"/>
              </w:rPr>
              <w:t>0,083</w:t>
            </w:r>
          </w:p>
        </w:tc>
      </w:tr>
      <w:tr w:rsidR="007C0625" w:rsidRPr="00395FAB" w14:paraId="07E98E6F" w14:textId="77777777" w:rsidTr="00345E6A">
        <w:trPr>
          <w:jc w:val="center"/>
        </w:trPr>
        <w:tc>
          <w:tcPr>
            <w:tcW w:w="8383" w:type="dxa"/>
            <w:gridSpan w:val="10"/>
          </w:tcPr>
          <w:p w14:paraId="6EB098FA" w14:textId="77777777" w:rsidR="007C0625" w:rsidRPr="00395FAB" w:rsidRDefault="007C0625" w:rsidP="00C2461C">
            <w:pPr>
              <w:rPr>
                <w:rFonts w:ascii="Times New Roman" w:hAnsi="Times New Roman" w:cs="Times New Roman"/>
                <w:sz w:val="20"/>
                <w:szCs w:val="20"/>
              </w:rPr>
            </w:pPr>
            <w:r w:rsidRPr="00395FAB">
              <w:rPr>
                <w:rFonts w:ascii="Times New Roman" w:hAnsi="Times New Roman" w:cs="Times New Roman"/>
                <w:sz w:val="20"/>
                <w:szCs w:val="20"/>
              </w:rPr>
              <w:t>PAINEL D – Painel Desbalanceado (Variáveis winsorizadas a 1%)</w:t>
            </w:r>
          </w:p>
        </w:tc>
      </w:tr>
      <w:tr w:rsidR="007C0625" w:rsidRPr="00395FAB" w14:paraId="2AFC445C" w14:textId="77777777" w:rsidTr="00345E6A">
        <w:trPr>
          <w:jc w:val="center"/>
        </w:trPr>
        <w:tc>
          <w:tcPr>
            <w:tcW w:w="992" w:type="dxa"/>
            <w:tcBorders>
              <w:bottom w:val="single" w:sz="4" w:space="0" w:color="auto"/>
            </w:tcBorders>
          </w:tcPr>
          <w:p w14:paraId="2609E31C" w14:textId="77777777" w:rsidR="007C0625" w:rsidRPr="00395FAB" w:rsidRDefault="007C0625" w:rsidP="00C2461C">
            <w:pPr>
              <w:jc w:val="both"/>
              <w:rPr>
                <w:rFonts w:ascii="Times New Roman" w:hAnsi="Times New Roman" w:cs="Times New Roman"/>
                <w:sz w:val="20"/>
                <w:szCs w:val="20"/>
              </w:rPr>
            </w:pPr>
          </w:p>
        </w:tc>
        <w:tc>
          <w:tcPr>
            <w:tcW w:w="672" w:type="dxa"/>
            <w:tcBorders>
              <w:bottom w:val="single" w:sz="4" w:space="0" w:color="auto"/>
            </w:tcBorders>
          </w:tcPr>
          <w:p w14:paraId="645A7825"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D/A</w:t>
            </w:r>
          </w:p>
        </w:tc>
        <w:tc>
          <w:tcPr>
            <w:tcW w:w="742" w:type="dxa"/>
            <w:tcBorders>
              <w:bottom w:val="single" w:sz="4" w:space="0" w:color="auto"/>
            </w:tcBorders>
          </w:tcPr>
          <w:p w14:paraId="7DC00E83"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ROA</w:t>
            </w:r>
          </w:p>
        </w:tc>
        <w:tc>
          <w:tcPr>
            <w:tcW w:w="854" w:type="dxa"/>
            <w:tcBorders>
              <w:bottom w:val="single" w:sz="4" w:space="0" w:color="auto"/>
            </w:tcBorders>
          </w:tcPr>
          <w:p w14:paraId="4BF9A715"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LogAti</w:t>
            </w:r>
          </w:p>
        </w:tc>
        <w:tc>
          <w:tcPr>
            <w:tcW w:w="882" w:type="dxa"/>
            <w:tcBorders>
              <w:bottom w:val="single" w:sz="4" w:space="0" w:color="auto"/>
            </w:tcBorders>
          </w:tcPr>
          <w:p w14:paraId="438BB542"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CrescAt</w:t>
            </w:r>
          </w:p>
        </w:tc>
        <w:tc>
          <w:tcPr>
            <w:tcW w:w="910" w:type="dxa"/>
            <w:tcBorders>
              <w:bottom w:val="single" w:sz="4" w:space="0" w:color="auto"/>
            </w:tcBorders>
          </w:tcPr>
          <w:p w14:paraId="61B57CA4"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Emp/At</w:t>
            </w:r>
          </w:p>
        </w:tc>
        <w:tc>
          <w:tcPr>
            <w:tcW w:w="895" w:type="dxa"/>
            <w:tcBorders>
              <w:bottom w:val="single" w:sz="4" w:space="0" w:color="auto"/>
            </w:tcBorders>
          </w:tcPr>
          <w:p w14:paraId="0A7B8D5A"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Dep/Pas</w:t>
            </w:r>
          </w:p>
        </w:tc>
        <w:tc>
          <w:tcPr>
            <w:tcW w:w="770" w:type="dxa"/>
            <w:tcBorders>
              <w:bottom w:val="single" w:sz="4" w:space="0" w:color="auto"/>
            </w:tcBorders>
          </w:tcPr>
          <w:p w14:paraId="40EA6D24"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PIB</w:t>
            </w:r>
          </w:p>
        </w:tc>
        <w:tc>
          <w:tcPr>
            <w:tcW w:w="770" w:type="dxa"/>
            <w:tcBorders>
              <w:bottom w:val="single" w:sz="4" w:space="0" w:color="auto"/>
            </w:tcBorders>
          </w:tcPr>
          <w:p w14:paraId="7C69E7CC"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IPCA</w:t>
            </w:r>
          </w:p>
        </w:tc>
        <w:tc>
          <w:tcPr>
            <w:tcW w:w="896" w:type="dxa"/>
            <w:tcBorders>
              <w:bottom w:val="single" w:sz="4" w:space="0" w:color="auto"/>
            </w:tcBorders>
          </w:tcPr>
          <w:p w14:paraId="05EE88A1" w14:textId="77777777" w:rsidR="007C0625" w:rsidRPr="00395FAB" w:rsidRDefault="007C0625" w:rsidP="00C2461C">
            <w:pPr>
              <w:jc w:val="center"/>
              <w:rPr>
                <w:rFonts w:ascii="Times New Roman" w:hAnsi="Times New Roman" w:cs="Times New Roman"/>
                <w:sz w:val="20"/>
                <w:szCs w:val="20"/>
              </w:rPr>
            </w:pPr>
            <w:r>
              <w:rPr>
                <w:rFonts w:ascii="Times New Roman" w:hAnsi="Times New Roman" w:cs="Times New Roman"/>
                <w:sz w:val="20"/>
                <w:szCs w:val="20"/>
              </w:rPr>
              <w:t>SELIC</w:t>
            </w:r>
          </w:p>
        </w:tc>
      </w:tr>
      <w:tr w:rsidR="007C0625" w:rsidRPr="00395FAB" w14:paraId="6750F695" w14:textId="77777777" w:rsidTr="00345E6A">
        <w:trPr>
          <w:jc w:val="center"/>
        </w:trPr>
        <w:tc>
          <w:tcPr>
            <w:tcW w:w="992" w:type="dxa"/>
            <w:tcBorders>
              <w:bottom w:val="nil"/>
            </w:tcBorders>
          </w:tcPr>
          <w:p w14:paraId="2AD735EB"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Média</w:t>
            </w:r>
          </w:p>
        </w:tc>
        <w:tc>
          <w:tcPr>
            <w:tcW w:w="672" w:type="dxa"/>
            <w:tcBorders>
              <w:bottom w:val="nil"/>
            </w:tcBorders>
            <w:vAlign w:val="bottom"/>
          </w:tcPr>
          <w:p w14:paraId="1D3C5090"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0,731</w:t>
            </w:r>
          </w:p>
        </w:tc>
        <w:tc>
          <w:tcPr>
            <w:tcW w:w="742" w:type="dxa"/>
            <w:tcBorders>
              <w:bottom w:val="nil"/>
            </w:tcBorders>
            <w:vAlign w:val="bottom"/>
          </w:tcPr>
          <w:p w14:paraId="2DEB762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0,008</w:t>
            </w:r>
          </w:p>
        </w:tc>
        <w:tc>
          <w:tcPr>
            <w:tcW w:w="854" w:type="dxa"/>
            <w:tcBorders>
              <w:bottom w:val="nil"/>
            </w:tcBorders>
            <w:vAlign w:val="bottom"/>
          </w:tcPr>
          <w:p w14:paraId="3D1FDDAE"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5,982</w:t>
            </w:r>
          </w:p>
        </w:tc>
        <w:tc>
          <w:tcPr>
            <w:tcW w:w="882" w:type="dxa"/>
            <w:tcBorders>
              <w:bottom w:val="nil"/>
            </w:tcBorders>
            <w:vAlign w:val="bottom"/>
          </w:tcPr>
          <w:p w14:paraId="0A88223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0,329</w:t>
            </w:r>
          </w:p>
        </w:tc>
        <w:tc>
          <w:tcPr>
            <w:tcW w:w="910" w:type="dxa"/>
            <w:tcBorders>
              <w:bottom w:val="nil"/>
            </w:tcBorders>
            <w:vAlign w:val="bottom"/>
          </w:tcPr>
          <w:p w14:paraId="2394A4AB"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0,312</w:t>
            </w:r>
          </w:p>
        </w:tc>
        <w:tc>
          <w:tcPr>
            <w:tcW w:w="895" w:type="dxa"/>
            <w:tcBorders>
              <w:bottom w:val="nil"/>
            </w:tcBorders>
          </w:tcPr>
          <w:p w14:paraId="187DF90F"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0,430</w:t>
            </w:r>
          </w:p>
        </w:tc>
        <w:tc>
          <w:tcPr>
            <w:tcW w:w="770" w:type="dxa"/>
            <w:tcBorders>
              <w:bottom w:val="nil"/>
            </w:tcBorders>
          </w:tcPr>
          <w:p w14:paraId="33C86C1F"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0,028</w:t>
            </w:r>
          </w:p>
        </w:tc>
        <w:tc>
          <w:tcPr>
            <w:tcW w:w="770" w:type="dxa"/>
            <w:tcBorders>
              <w:bottom w:val="nil"/>
            </w:tcBorders>
          </w:tcPr>
          <w:p w14:paraId="2AE8B98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0,065</w:t>
            </w:r>
          </w:p>
        </w:tc>
        <w:tc>
          <w:tcPr>
            <w:tcW w:w="896" w:type="dxa"/>
            <w:tcBorders>
              <w:bottom w:val="nil"/>
            </w:tcBorders>
          </w:tcPr>
          <w:p w14:paraId="3D2248D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0,177</w:t>
            </w:r>
          </w:p>
        </w:tc>
      </w:tr>
      <w:tr w:rsidR="007C0625" w:rsidRPr="00395FAB" w14:paraId="7D61094D" w14:textId="77777777" w:rsidTr="00345E6A">
        <w:trPr>
          <w:jc w:val="center"/>
        </w:trPr>
        <w:tc>
          <w:tcPr>
            <w:tcW w:w="992" w:type="dxa"/>
            <w:tcBorders>
              <w:top w:val="nil"/>
              <w:bottom w:val="nil"/>
            </w:tcBorders>
          </w:tcPr>
          <w:p w14:paraId="28109EDA"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Mediana</w:t>
            </w:r>
          </w:p>
        </w:tc>
        <w:tc>
          <w:tcPr>
            <w:tcW w:w="672" w:type="dxa"/>
            <w:tcBorders>
              <w:top w:val="nil"/>
              <w:bottom w:val="nil"/>
            </w:tcBorders>
            <w:vAlign w:val="bottom"/>
          </w:tcPr>
          <w:p w14:paraId="20AADA2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0,825</w:t>
            </w:r>
          </w:p>
        </w:tc>
        <w:tc>
          <w:tcPr>
            <w:tcW w:w="742" w:type="dxa"/>
            <w:tcBorders>
              <w:top w:val="nil"/>
              <w:bottom w:val="nil"/>
            </w:tcBorders>
            <w:vAlign w:val="bottom"/>
          </w:tcPr>
          <w:p w14:paraId="5580C70A"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0,012</w:t>
            </w:r>
          </w:p>
        </w:tc>
        <w:tc>
          <w:tcPr>
            <w:tcW w:w="854" w:type="dxa"/>
            <w:tcBorders>
              <w:top w:val="nil"/>
              <w:bottom w:val="nil"/>
            </w:tcBorders>
            <w:vAlign w:val="bottom"/>
          </w:tcPr>
          <w:p w14:paraId="4860AA8A"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5,991</w:t>
            </w:r>
          </w:p>
        </w:tc>
        <w:tc>
          <w:tcPr>
            <w:tcW w:w="882" w:type="dxa"/>
            <w:tcBorders>
              <w:top w:val="nil"/>
              <w:bottom w:val="nil"/>
            </w:tcBorders>
            <w:vAlign w:val="bottom"/>
          </w:tcPr>
          <w:p w14:paraId="3F7B5D2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0,147</w:t>
            </w:r>
          </w:p>
        </w:tc>
        <w:tc>
          <w:tcPr>
            <w:tcW w:w="910" w:type="dxa"/>
            <w:tcBorders>
              <w:top w:val="nil"/>
              <w:bottom w:val="nil"/>
            </w:tcBorders>
            <w:vAlign w:val="bottom"/>
          </w:tcPr>
          <w:p w14:paraId="7AB18605"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0,275</w:t>
            </w:r>
          </w:p>
        </w:tc>
        <w:tc>
          <w:tcPr>
            <w:tcW w:w="895" w:type="dxa"/>
            <w:tcBorders>
              <w:top w:val="nil"/>
              <w:bottom w:val="nil"/>
            </w:tcBorders>
          </w:tcPr>
          <w:p w14:paraId="076F5A64"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0,416</w:t>
            </w:r>
          </w:p>
        </w:tc>
        <w:tc>
          <w:tcPr>
            <w:tcW w:w="770" w:type="dxa"/>
            <w:tcBorders>
              <w:top w:val="nil"/>
              <w:bottom w:val="nil"/>
            </w:tcBorders>
          </w:tcPr>
          <w:p w14:paraId="55EB6972"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0,027</w:t>
            </w:r>
          </w:p>
        </w:tc>
        <w:tc>
          <w:tcPr>
            <w:tcW w:w="770" w:type="dxa"/>
            <w:tcBorders>
              <w:top w:val="nil"/>
              <w:bottom w:val="nil"/>
            </w:tcBorders>
          </w:tcPr>
          <w:p w14:paraId="43392051"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0,059</w:t>
            </w:r>
          </w:p>
        </w:tc>
        <w:tc>
          <w:tcPr>
            <w:tcW w:w="896" w:type="dxa"/>
            <w:tcBorders>
              <w:top w:val="nil"/>
              <w:bottom w:val="nil"/>
            </w:tcBorders>
          </w:tcPr>
          <w:p w14:paraId="01999E7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0,173</w:t>
            </w:r>
          </w:p>
        </w:tc>
      </w:tr>
      <w:tr w:rsidR="007C0625" w:rsidRPr="00395FAB" w14:paraId="5678C3D4" w14:textId="77777777" w:rsidTr="00345E6A">
        <w:trPr>
          <w:jc w:val="center"/>
        </w:trPr>
        <w:tc>
          <w:tcPr>
            <w:tcW w:w="992" w:type="dxa"/>
            <w:tcBorders>
              <w:top w:val="nil"/>
              <w:bottom w:val="nil"/>
            </w:tcBorders>
          </w:tcPr>
          <w:p w14:paraId="0EAED985"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Desvio-Padrão</w:t>
            </w:r>
          </w:p>
        </w:tc>
        <w:tc>
          <w:tcPr>
            <w:tcW w:w="672" w:type="dxa"/>
            <w:tcBorders>
              <w:top w:val="nil"/>
              <w:bottom w:val="nil"/>
            </w:tcBorders>
            <w:vAlign w:val="center"/>
          </w:tcPr>
          <w:p w14:paraId="64DB7CC9"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0,274</w:t>
            </w:r>
          </w:p>
        </w:tc>
        <w:tc>
          <w:tcPr>
            <w:tcW w:w="742" w:type="dxa"/>
            <w:tcBorders>
              <w:top w:val="nil"/>
              <w:bottom w:val="nil"/>
            </w:tcBorders>
            <w:vAlign w:val="center"/>
          </w:tcPr>
          <w:p w14:paraId="534F1112"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0,088</w:t>
            </w:r>
          </w:p>
        </w:tc>
        <w:tc>
          <w:tcPr>
            <w:tcW w:w="854" w:type="dxa"/>
            <w:tcBorders>
              <w:top w:val="nil"/>
              <w:bottom w:val="nil"/>
            </w:tcBorders>
            <w:vAlign w:val="center"/>
          </w:tcPr>
          <w:p w14:paraId="1B4EC884"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0,963</w:t>
            </w:r>
          </w:p>
        </w:tc>
        <w:tc>
          <w:tcPr>
            <w:tcW w:w="882" w:type="dxa"/>
            <w:tcBorders>
              <w:top w:val="nil"/>
              <w:bottom w:val="nil"/>
            </w:tcBorders>
            <w:vAlign w:val="center"/>
          </w:tcPr>
          <w:p w14:paraId="386F35C9"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1,092</w:t>
            </w:r>
          </w:p>
        </w:tc>
        <w:tc>
          <w:tcPr>
            <w:tcW w:w="910" w:type="dxa"/>
            <w:tcBorders>
              <w:top w:val="nil"/>
              <w:bottom w:val="nil"/>
            </w:tcBorders>
            <w:vAlign w:val="center"/>
          </w:tcPr>
          <w:p w14:paraId="1D6F44F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0,261</w:t>
            </w:r>
          </w:p>
        </w:tc>
        <w:tc>
          <w:tcPr>
            <w:tcW w:w="895" w:type="dxa"/>
            <w:tcBorders>
              <w:top w:val="nil"/>
              <w:bottom w:val="nil"/>
            </w:tcBorders>
            <w:vAlign w:val="center"/>
          </w:tcPr>
          <w:p w14:paraId="50B4EB74"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0,301</w:t>
            </w:r>
          </w:p>
        </w:tc>
        <w:tc>
          <w:tcPr>
            <w:tcW w:w="770" w:type="dxa"/>
            <w:tcBorders>
              <w:top w:val="nil"/>
              <w:bottom w:val="nil"/>
            </w:tcBorders>
            <w:vAlign w:val="center"/>
          </w:tcPr>
          <w:p w14:paraId="47B99E6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0,021</w:t>
            </w:r>
          </w:p>
        </w:tc>
        <w:tc>
          <w:tcPr>
            <w:tcW w:w="770" w:type="dxa"/>
            <w:tcBorders>
              <w:top w:val="nil"/>
              <w:bottom w:val="nil"/>
            </w:tcBorders>
            <w:vAlign w:val="center"/>
          </w:tcPr>
          <w:p w14:paraId="36FF9AE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0,025</w:t>
            </w:r>
          </w:p>
        </w:tc>
        <w:tc>
          <w:tcPr>
            <w:tcW w:w="896" w:type="dxa"/>
            <w:tcBorders>
              <w:top w:val="nil"/>
              <w:bottom w:val="nil"/>
            </w:tcBorders>
            <w:vAlign w:val="center"/>
          </w:tcPr>
          <w:p w14:paraId="06E691E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0,067</w:t>
            </w:r>
          </w:p>
        </w:tc>
      </w:tr>
      <w:tr w:rsidR="007C0625" w:rsidRPr="00395FAB" w14:paraId="402E39AE" w14:textId="77777777" w:rsidTr="00345E6A">
        <w:trPr>
          <w:jc w:val="center"/>
        </w:trPr>
        <w:tc>
          <w:tcPr>
            <w:tcW w:w="992" w:type="dxa"/>
            <w:tcBorders>
              <w:top w:val="nil"/>
              <w:bottom w:val="nil"/>
            </w:tcBorders>
          </w:tcPr>
          <w:p w14:paraId="71FD8596"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Máximo</w:t>
            </w:r>
          </w:p>
        </w:tc>
        <w:tc>
          <w:tcPr>
            <w:tcW w:w="672" w:type="dxa"/>
            <w:tcBorders>
              <w:top w:val="nil"/>
              <w:bottom w:val="nil"/>
            </w:tcBorders>
            <w:vAlign w:val="bottom"/>
          </w:tcPr>
          <w:p w14:paraId="25FAC913"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1,888</w:t>
            </w:r>
          </w:p>
        </w:tc>
        <w:tc>
          <w:tcPr>
            <w:tcW w:w="742" w:type="dxa"/>
            <w:tcBorders>
              <w:top w:val="nil"/>
              <w:bottom w:val="nil"/>
            </w:tcBorders>
            <w:vAlign w:val="bottom"/>
          </w:tcPr>
          <w:p w14:paraId="2100A1D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0,291</w:t>
            </w:r>
          </w:p>
        </w:tc>
        <w:tc>
          <w:tcPr>
            <w:tcW w:w="854" w:type="dxa"/>
            <w:tcBorders>
              <w:top w:val="nil"/>
              <w:bottom w:val="nil"/>
            </w:tcBorders>
            <w:vAlign w:val="bottom"/>
          </w:tcPr>
          <w:p w14:paraId="304E6B76"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9,049</w:t>
            </w:r>
          </w:p>
        </w:tc>
        <w:tc>
          <w:tcPr>
            <w:tcW w:w="882" w:type="dxa"/>
            <w:tcBorders>
              <w:top w:val="nil"/>
              <w:bottom w:val="nil"/>
            </w:tcBorders>
            <w:vAlign w:val="bottom"/>
          </w:tcPr>
          <w:p w14:paraId="4B7D4EFB"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10,763</w:t>
            </w:r>
          </w:p>
        </w:tc>
        <w:tc>
          <w:tcPr>
            <w:tcW w:w="910" w:type="dxa"/>
            <w:tcBorders>
              <w:top w:val="nil"/>
              <w:bottom w:val="nil"/>
            </w:tcBorders>
            <w:vAlign w:val="bottom"/>
          </w:tcPr>
          <w:p w14:paraId="214BC71B"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0,980</w:t>
            </w:r>
          </w:p>
        </w:tc>
        <w:tc>
          <w:tcPr>
            <w:tcW w:w="895" w:type="dxa"/>
            <w:tcBorders>
              <w:top w:val="nil"/>
              <w:bottom w:val="nil"/>
            </w:tcBorders>
          </w:tcPr>
          <w:p w14:paraId="73221B11"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770" w:type="dxa"/>
            <w:tcBorders>
              <w:top w:val="nil"/>
              <w:bottom w:val="nil"/>
            </w:tcBorders>
          </w:tcPr>
          <w:p w14:paraId="7E754738"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0,075</w:t>
            </w:r>
          </w:p>
        </w:tc>
        <w:tc>
          <w:tcPr>
            <w:tcW w:w="770" w:type="dxa"/>
            <w:tcBorders>
              <w:top w:val="nil"/>
              <w:bottom w:val="nil"/>
            </w:tcBorders>
          </w:tcPr>
          <w:p w14:paraId="743A2CD9"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0,125</w:t>
            </w:r>
          </w:p>
        </w:tc>
        <w:tc>
          <w:tcPr>
            <w:tcW w:w="896" w:type="dxa"/>
            <w:tcBorders>
              <w:top w:val="nil"/>
              <w:bottom w:val="nil"/>
            </w:tcBorders>
          </w:tcPr>
          <w:p w14:paraId="76D76442"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0,288</w:t>
            </w:r>
          </w:p>
        </w:tc>
      </w:tr>
      <w:tr w:rsidR="007C0625" w:rsidRPr="00380DCA" w14:paraId="1D502F5A" w14:textId="77777777" w:rsidTr="00345E6A">
        <w:trPr>
          <w:jc w:val="center"/>
        </w:trPr>
        <w:tc>
          <w:tcPr>
            <w:tcW w:w="992" w:type="dxa"/>
            <w:tcBorders>
              <w:top w:val="nil"/>
            </w:tcBorders>
          </w:tcPr>
          <w:p w14:paraId="48678BDF" w14:textId="77777777" w:rsidR="007C0625" w:rsidRPr="00395FAB" w:rsidRDefault="007C0625" w:rsidP="00C2461C">
            <w:pPr>
              <w:jc w:val="both"/>
              <w:rPr>
                <w:rFonts w:ascii="Times New Roman" w:hAnsi="Times New Roman" w:cs="Times New Roman"/>
                <w:sz w:val="20"/>
                <w:szCs w:val="20"/>
              </w:rPr>
            </w:pPr>
            <w:r w:rsidRPr="00395FAB">
              <w:rPr>
                <w:rFonts w:ascii="Times New Roman" w:hAnsi="Times New Roman" w:cs="Times New Roman"/>
                <w:sz w:val="20"/>
                <w:szCs w:val="20"/>
              </w:rPr>
              <w:t>Mínimo</w:t>
            </w:r>
          </w:p>
        </w:tc>
        <w:tc>
          <w:tcPr>
            <w:tcW w:w="672" w:type="dxa"/>
            <w:tcBorders>
              <w:top w:val="nil"/>
            </w:tcBorders>
            <w:vAlign w:val="bottom"/>
          </w:tcPr>
          <w:p w14:paraId="476DC4A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0,014</w:t>
            </w:r>
          </w:p>
        </w:tc>
        <w:tc>
          <w:tcPr>
            <w:tcW w:w="742" w:type="dxa"/>
            <w:tcBorders>
              <w:top w:val="nil"/>
            </w:tcBorders>
            <w:vAlign w:val="bottom"/>
          </w:tcPr>
          <w:p w14:paraId="591EF272"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-0,707</w:t>
            </w:r>
          </w:p>
        </w:tc>
        <w:tc>
          <w:tcPr>
            <w:tcW w:w="854" w:type="dxa"/>
            <w:tcBorders>
              <w:top w:val="nil"/>
            </w:tcBorders>
            <w:vAlign w:val="bottom"/>
          </w:tcPr>
          <w:p w14:paraId="1347D1D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2,535</w:t>
            </w:r>
          </w:p>
        </w:tc>
        <w:tc>
          <w:tcPr>
            <w:tcW w:w="882" w:type="dxa"/>
            <w:tcBorders>
              <w:top w:val="nil"/>
            </w:tcBorders>
            <w:vAlign w:val="bottom"/>
          </w:tcPr>
          <w:p w14:paraId="4549D117"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-0,902</w:t>
            </w:r>
          </w:p>
        </w:tc>
        <w:tc>
          <w:tcPr>
            <w:tcW w:w="910" w:type="dxa"/>
            <w:tcBorders>
              <w:top w:val="nil"/>
            </w:tcBorders>
            <w:vAlign w:val="bottom"/>
          </w:tcPr>
          <w:p w14:paraId="3BE72AB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895" w:type="dxa"/>
            <w:tcBorders>
              <w:top w:val="nil"/>
            </w:tcBorders>
          </w:tcPr>
          <w:p w14:paraId="2E5F3DCC"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0,000</w:t>
            </w:r>
          </w:p>
        </w:tc>
        <w:tc>
          <w:tcPr>
            <w:tcW w:w="770" w:type="dxa"/>
            <w:tcBorders>
              <w:top w:val="nil"/>
            </w:tcBorders>
          </w:tcPr>
          <w:p w14:paraId="16D28A3D"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-0,003</w:t>
            </w:r>
          </w:p>
        </w:tc>
        <w:tc>
          <w:tcPr>
            <w:tcW w:w="770" w:type="dxa"/>
            <w:tcBorders>
              <w:top w:val="nil"/>
            </w:tcBorders>
          </w:tcPr>
          <w:p w14:paraId="260DF272"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0,017</w:t>
            </w:r>
          </w:p>
        </w:tc>
        <w:tc>
          <w:tcPr>
            <w:tcW w:w="896" w:type="dxa"/>
            <w:tcBorders>
              <w:top w:val="nil"/>
            </w:tcBorders>
          </w:tcPr>
          <w:p w14:paraId="001AC04E" w14:textId="77777777" w:rsidR="007C0625" w:rsidRPr="00395FAB" w:rsidRDefault="007C0625" w:rsidP="00C2461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0,083</w:t>
            </w:r>
          </w:p>
        </w:tc>
      </w:tr>
    </w:tbl>
    <w:p w14:paraId="28356052" w14:textId="77777777" w:rsidR="007C0625" w:rsidRPr="00324007" w:rsidRDefault="007C0625" w:rsidP="00511B99">
      <w:pPr>
        <w:spacing w:line="240" w:lineRule="auto"/>
        <w:ind w:left="406"/>
        <w:jc w:val="both"/>
        <w:rPr>
          <w:rFonts w:ascii="Times New Roman" w:hAnsi="Times New Roman" w:cs="Times New Roman"/>
          <w:sz w:val="20"/>
          <w:szCs w:val="20"/>
        </w:rPr>
      </w:pPr>
      <w:r w:rsidRPr="00324007">
        <w:rPr>
          <w:rFonts w:ascii="Times New Roman" w:hAnsi="Times New Roman" w:cs="Times New Roman"/>
          <w:sz w:val="20"/>
          <w:szCs w:val="20"/>
        </w:rPr>
        <w:t>Fonte: Elaboração Própria</w:t>
      </w:r>
    </w:p>
    <w:p w14:paraId="7DD87B07" w14:textId="78C370BF" w:rsidR="006D00F8" w:rsidRDefault="00514782" w:rsidP="0010012C">
      <w:pPr>
        <w:spacing w:before="240" w:line="240" w:lineRule="auto"/>
        <w:jc w:val="both"/>
        <w:rPr>
          <w:rFonts w:ascii="Times New Roman" w:hAnsi="Times New Roman" w:cs="Times New Roman"/>
          <w:b/>
          <w:sz w:val="24"/>
          <w:szCs w:val="24"/>
        </w:rPr>
      </w:pPr>
      <w:r w:rsidRPr="00A87C83">
        <w:rPr>
          <w:rFonts w:ascii="Times New Roman" w:hAnsi="Times New Roman" w:cs="Times New Roman"/>
          <w:b/>
          <w:sz w:val="24"/>
          <w:szCs w:val="24"/>
        </w:rPr>
        <w:t>4.2</w:t>
      </w:r>
      <w:r>
        <w:rPr>
          <w:rFonts w:ascii="Times New Roman" w:hAnsi="Times New Roman" w:cs="Times New Roman"/>
          <w:b/>
          <w:sz w:val="24"/>
          <w:szCs w:val="24"/>
        </w:rPr>
        <w:t xml:space="preserve"> ANÁLISE DO EFEITO DA INFLAÇÃO SOBRE O NÍVEL DE CAPITALIZAÇÃO DAS INSTITUIÇÕES FINANCEIRAS</w:t>
      </w:r>
    </w:p>
    <w:p w14:paraId="3075D612" w14:textId="108E0D66" w:rsidR="00914871" w:rsidRPr="00FC4870" w:rsidRDefault="00D64982" w:rsidP="00914871">
      <w:pPr>
        <w:spacing w:after="0" w:line="240" w:lineRule="auto"/>
        <w:ind w:firstLine="567"/>
        <w:jc w:val="both"/>
        <w:rPr>
          <w:rFonts w:ascii="Times New Roman" w:eastAsiaTheme="minorEastAsia" w:hAnsi="Times New Roman" w:cs="Times New Roman"/>
          <w:sz w:val="24"/>
          <w:szCs w:val="24"/>
          <w:lang w:eastAsia="pt-BR"/>
        </w:rPr>
      </w:pPr>
      <w:r>
        <w:rPr>
          <w:rFonts w:ascii="Times New Roman" w:hAnsi="Times New Roman" w:cs="Times New Roman"/>
          <w:sz w:val="24"/>
          <w:szCs w:val="24"/>
        </w:rPr>
        <w:t>A tabela 3</w:t>
      </w:r>
      <w:r w:rsidR="006D00F8">
        <w:rPr>
          <w:rFonts w:ascii="Times New Roman" w:hAnsi="Times New Roman" w:cs="Times New Roman"/>
          <w:sz w:val="24"/>
          <w:szCs w:val="24"/>
        </w:rPr>
        <w:t xml:space="preserve"> evidencia os resultados da equação 1 para as amostras com painel balanceado e desbalanceado.</w:t>
      </w:r>
      <w:r w:rsidR="00914871">
        <w:rPr>
          <w:rFonts w:ascii="Times New Roman" w:hAnsi="Times New Roman" w:cs="Times New Roman"/>
          <w:sz w:val="24"/>
          <w:szCs w:val="24"/>
        </w:rPr>
        <w:t xml:space="preserve"> A partir desta pode ser observado que o grau de ajustamento das variáveis ao modelo para ambas amostras é basicamente o mesmo, uma vez que para o painel balanceado o R² apresentou o valor de 0,776 e para o painel desbalanceado o valor apresentou foi de 0,775, onde pode-se considerar, para as duas amostras, bom valor preditivo dos modelos utilizados. O </w:t>
      </w:r>
      <w:r w:rsidR="00914871" w:rsidRPr="00676AF2">
        <w:rPr>
          <w:rFonts w:ascii="Times New Roman" w:hAnsi="Times New Roman" w:cs="Times New Roman"/>
          <w:i/>
          <w:sz w:val="24"/>
          <w:szCs w:val="24"/>
        </w:rPr>
        <w:t>p-value</w:t>
      </w:r>
      <w:r w:rsidR="00914871">
        <w:rPr>
          <w:rFonts w:ascii="Times New Roman" w:hAnsi="Times New Roman" w:cs="Times New Roman"/>
          <w:sz w:val="24"/>
          <w:szCs w:val="24"/>
        </w:rPr>
        <w:t xml:space="preserve"> menor que 1% da estatística F faz com que seja rejeitada a hipótese nula de que o modelo não foi especificado corretamente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eastAsia="Times New Roman" w:hAnsi="Cambria Math" w:cs="Times New Roman"/>
                <w:i/>
                <w:sz w:val="24"/>
                <w:szCs w:val="24"/>
                <w:lang w:val="en-US" w:eastAsia="pt-BR"/>
              </w:rPr>
            </m:ctrlPr>
          </m:sSubPr>
          <m:e>
            <m:r>
              <w:rPr>
                <w:rFonts w:ascii="Cambria Math" w:hAnsi="Cambria Math"/>
                <w:szCs w:val="24"/>
                <w:lang w:val="en-US"/>
              </w:rPr>
              <m:t>β</m:t>
            </m:r>
          </m:e>
          <m:sub>
            <m:r>
              <w:rPr>
                <w:rFonts w:ascii="Cambria Math" w:hAnsi="Cambria Math"/>
                <w:szCs w:val="24"/>
              </w:rPr>
              <m:t>1</m:t>
            </m:r>
          </m:sub>
        </m:sSub>
        <m:r>
          <w:rPr>
            <w:rFonts w:ascii="Cambria Math" w:eastAsia="Times New Roman" w:hAnsi="Cambria Math" w:cs="Times New Roman"/>
            <w:sz w:val="24"/>
            <w:szCs w:val="24"/>
            <w:lang w:eastAsia="pt-BR"/>
          </w:rPr>
          <m:t>=</m:t>
        </m:r>
        <m:sSub>
          <m:sSubPr>
            <m:ctrlPr>
              <w:rPr>
                <w:rFonts w:ascii="Cambria Math" w:eastAsia="Times New Roman" w:hAnsi="Cambria Math" w:cs="Times New Roman"/>
                <w:i/>
                <w:sz w:val="24"/>
                <w:szCs w:val="24"/>
                <w:lang w:val="en-US" w:eastAsia="pt-BR"/>
              </w:rPr>
            </m:ctrlPr>
          </m:sSubPr>
          <m:e>
            <m:r>
              <w:rPr>
                <w:rFonts w:ascii="Cambria Math" w:hAnsi="Cambria Math"/>
                <w:szCs w:val="24"/>
                <w:lang w:val="en-US"/>
              </w:rPr>
              <m:t>β</m:t>
            </m:r>
          </m:e>
          <m:sub>
            <m:r>
              <w:rPr>
                <w:rFonts w:ascii="Cambria Math" w:hAnsi="Cambria Math"/>
                <w:szCs w:val="24"/>
              </w:rPr>
              <m:t>2</m:t>
            </m:r>
          </m:sub>
        </m:sSub>
        <m:r>
          <w:rPr>
            <w:rFonts w:ascii="Cambria Math" w:eastAsia="Times New Roman" w:hAnsi="Cambria Math" w:cs="Times New Roman"/>
            <w:sz w:val="24"/>
            <w:szCs w:val="24"/>
            <w:lang w:eastAsia="pt-BR"/>
          </w:rPr>
          <m:t>=</m:t>
        </m:r>
        <m:sSub>
          <m:sSubPr>
            <m:ctrlPr>
              <w:rPr>
                <w:rFonts w:ascii="Cambria Math" w:eastAsia="Times New Roman" w:hAnsi="Cambria Math" w:cs="Times New Roman"/>
                <w:i/>
                <w:sz w:val="24"/>
                <w:szCs w:val="24"/>
                <w:lang w:val="en-US" w:eastAsia="pt-BR"/>
              </w:rPr>
            </m:ctrlPr>
          </m:sSubPr>
          <m:e>
            <m:r>
              <w:rPr>
                <w:rFonts w:ascii="Cambria Math" w:hAnsi="Cambria Math"/>
                <w:szCs w:val="24"/>
                <w:lang w:val="en-US"/>
              </w:rPr>
              <m:t>β</m:t>
            </m:r>
          </m:e>
          <m:sub>
            <m:r>
              <w:rPr>
                <w:rFonts w:ascii="Cambria Math" w:hAnsi="Cambria Math"/>
                <w:szCs w:val="24"/>
              </w:rPr>
              <m:t>3</m:t>
            </m:r>
          </m:sub>
        </m:sSub>
        <m:r>
          <w:rPr>
            <w:rFonts w:ascii="Cambria Math" w:eastAsia="Times New Roman" w:hAnsi="Cambria Math" w:cs="Times New Roman"/>
            <w:sz w:val="24"/>
            <w:szCs w:val="24"/>
            <w:lang w:eastAsia="pt-BR"/>
          </w:rPr>
          <m:t>=…=</m:t>
        </m:r>
        <m:sSub>
          <m:sSubPr>
            <m:ctrlPr>
              <w:rPr>
                <w:rFonts w:ascii="Cambria Math" w:eastAsia="Times New Roman" w:hAnsi="Cambria Math" w:cs="Times New Roman"/>
                <w:i/>
                <w:sz w:val="24"/>
                <w:szCs w:val="24"/>
                <w:lang w:val="en-US" w:eastAsia="pt-BR"/>
              </w:rPr>
            </m:ctrlPr>
          </m:sSubPr>
          <m:e>
            <m:r>
              <w:rPr>
                <w:rFonts w:ascii="Cambria Math" w:hAnsi="Cambria Math"/>
                <w:szCs w:val="24"/>
                <w:lang w:val="en-US"/>
              </w:rPr>
              <m:t>β</m:t>
            </m:r>
          </m:e>
          <m:sub>
            <m:r>
              <w:rPr>
                <w:rFonts w:ascii="Cambria Math" w:hAnsi="Cambria Math"/>
                <w:szCs w:val="24"/>
                <w:lang w:val="en-US"/>
              </w:rPr>
              <m:t>n</m:t>
            </m:r>
          </m:sub>
        </m:sSub>
        <m:r>
          <w:rPr>
            <w:rFonts w:ascii="Cambria Math" w:eastAsia="Times New Roman" w:hAnsi="Cambria Math" w:cs="Times New Roman"/>
            <w:sz w:val="24"/>
            <w:szCs w:val="24"/>
            <w:lang w:eastAsia="pt-BR"/>
          </w:rPr>
          <m:t>=0</m:t>
        </m:r>
      </m:oMath>
      <w:r w:rsidR="00914871" w:rsidRPr="00FC4870">
        <w:rPr>
          <w:rFonts w:ascii="Times New Roman" w:eastAsiaTheme="minorEastAsia" w:hAnsi="Times New Roman" w:cs="Times New Roman"/>
          <w:sz w:val="24"/>
          <w:szCs w:val="24"/>
          <w:lang w:eastAsia="pt-BR"/>
        </w:rPr>
        <w:t>).</w:t>
      </w:r>
    </w:p>
    <w:p w14:paraId="7D2238D8" w14:textId="44D80EC0" w:rsidR="00DF61CF" w:rsidRDefault="00DF61CF" w:rsidP="00DF61C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análise do </w:t>
      </w:r>
      <w:r w:rsidRPr="00DF61CF">
        <w:rPr>
          <w:rFonts w:ascii="Times New Roman" w:hAnsi="Times New Roman" w:cs="Times New Roman"/>
          <w:i/>
          <w:sz w:val="24"/>
          <w:szCs w:val="24"/>
        </w:rPr>
        <w:t>p-value</w:t>
      </w:r>
      <w:r>
        <w:rPr>
          <w:rFonts w:ascii="Times New Roman" w:hAnsi="Times New Roman" w:cs="Times New Roman"/>
          <w:sz w:val="24"/>
          <w:szCs w:val="24"/>
        </w:rPr>
        <w:t xml:space="preserve"> do teste </w:t>
      </w: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indica que todas as variáveis do modelo foram consideradas estatisticamente significantes ao nível de 1%, com exceção do IPCA para o painel balanceado (10%) e do crescimento dos Ativos para o painel desbalanceado (5%). A análise do sinal do coeficiente </w:t>
      </w:r>
      <w:proofErr w:type="gramStart"/>
      <w:r>
        <w:rPr>
          <w:rFonts w:ascii="Times New Roman" w:hAnsi="Times New Roman" w:cs="Times New Roman"/>
          <w:sz w:val="24"/>
          <w:szCs w:val="24"/>
        </w:rPr>
        <w:t xml:space="preserve">angular </w:t>
      </w:r>
      <m:oMath>
        <m:r>
          <w:rPr>
            <w:rFonts w:ascii="Cambria Math" w:hAnsi="Cambria Math" w:cs="Times New Roman"/>
            <w:sz w:val="24"/>
            <w:szCs w:val="24"/>
          </w:rPr>
          <m:t>β</m:t>
        </m:r>
      </m:oMath>
      <w:r>
        <w:rPr>
          <w:rFonts w:ascii="Times New Roman" w:hAnsi="Times New Roman" w:cs="Times New Roman"/>
          <w:sz w:val="24"/>
          <w:szCs w:val="24"/>
        </w:rPr>
        <w:t xml:space="preserve"> para</w:t>
      </w:r>
      <w:proofErr w:type="gramEnd"/>
      <w:r>
        <w:rPr>
          <w:rFonts w:ascii="Times New Roman" w:hAnsi="Times New Roman" w:cs="Times New Roman"/>
          <w:sz w:val="24"/>
          <w:szCs w:val="24"/>
        </w:rPr>
        <w:t xml:space="preserve"> os dois tipos de painel é convergente, indicando que as variáveis influenciam o endividamento das instituições financeiras do mesmo modo nos dois tipos de análise.</w:t>
      </w:r>
    </w:p>
    <w:p w14:paraId="26A45EF3" w14:textId="77777777" w:rsidR="00B4444C" w:rsidRDefault="008627E6" w:rsidP="00DF61C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coeficiente negativo da variável ROA indica que quanto maior a lucratividade, menor o endividamento. Uma possível explicação está no fato de que ao obter uma maior lucratividade, os bancos acumulam esta parcela do lucro, aumentando o seu capital. O contrário ocorre quando </w:t>
      </w:r>
      <w:r w:rsidR="00345E6A">
        <w:rPr>
          <w:rFonts w:ascii="Times New Roman" w:hAnsi="Times New Roman" w:cs="Times New Roman"/>
          <w:sz w:val="24"/>
          <w:szCs w:val="24"/>
        </w:rPr>
        <w:t>estes obtêm</w:t>
      </w:r>
      <w:r>
        <w:rPr>
          <w:rFonts w:ascii="Times New Roman" w:hAnsi="Times New Roman" w:cs="Times New Roman"/>
          <w:sz w:val="24"/>
          <w:szCs w:val="24"/>
        </w:rPr>
        <w:t xml:space="preserve"> lucros menores ou até mesmo prejuízos.</w:t>
      </w:r>
      <w:r w:rsidR="003B4DD7">
        <w:rPr>
          <w:rFonts w:ascii="Times New Roman" w:hAnsi="Times New Roman" w:cs="Times New Roman"/>
          <w:sz w:val="24"/>
          <w:szCs w:val="24"/>
        </w:rPr>
        <w:t xml:space="preserve"> Os resultados estão de acordo com os encontrados também no trabalho de Jucá (2011).</w:t>
      </w:r>
    </w:p>
    <w:p w14:paraId="724468E0" w14:textId="0ADB6506" w:rsidR="003B4DD7" w:rsidRDefault="003B4DD7" w:rsidP="00DF61CF">
      <w:pPr>
        <w:spacing w:after="12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Rajan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Zingales</w:t>
      </w:r>
      <w:proofErr w:type="spellEnd"/>
      <w:r>
        <w:rPr>
          <w:rFonts w:ascii="Times New Roman" w:hAnsi="Times New Roman" w:cs="Times New Roman"/>
          <w:sz w:val="24"/>
          <w:szCs w:val="24"/>
        </w:rPr>
        <w:t xml:space="preserve"> (1995)</w:t>
      </w:r>
      <w:r w:rsidR="000418FF">
        <w:rPr>
          <w:rFonts w:ascii="Times New Roman" w:hAnsi="Times New Roman" w:cs="Times New Roman"/>
          <w:sz w:val="24"/>
          <w:szCs w:val="24"/>
        </w:rPr>
        <w:t xml:space="preserve"> e</w:t>
      </w:r>
      <w:r>
        <w:rPr>
          <w:rFonts w:ascii="Times New Roman" w:hAnsi="Times New Roman" w:cs="Times New Roman"/>
          <w:sz w:val="24"/>
          <w:szCs w:val="24"/>
        </w:rPr>
        <w:t xml:space="preserve"> </w:t>
      </w:r>
      <w:proofErr w:type="spellStart"/>
      <w:r>
        <w:rPr>
          <w:rFonts w:ascii="Times New Roman" w:hAnsi="Times New Roman" w:cs="Times New Roman"/>
          <w:sz w:val="24"/>
          <w:szCs w:val="24"/>
        </w:rPr>
        <w:t>Kahle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Shastri</w:t>
      </w:r>
      <w:proofErr w:type="spellEnd"/>
      <w:r>
        <w:rPr>
          <w:rFonts w:ascii="Times New Roman" w:hAnsi="Times New Roman" w:cs="Times New Roman"/>
          <w:sz w:val="24"/>
          <w:szCs w:val="24"/>
        </w:rPr>
        <w:t xml:space="preserve"> (2005</w:t>
      </w:r>
      <w:r w:rsidR="000418FF">
        <w:rPr>
          <w:rFonts w:ascii="Times New Roman" w:hAnsi="Times New Roman" w:cs="Times New Roman"/>
          <w:sz w:val="24"/>
          <w:szCs w:val="24"/>
        </w:rPr>
        <w:t>)</w:t>
      </w:r>
      <w:r>
        <w:rPr>
          <w:rFonts w:ascii="Times New Roman" w:hAnsi="Times New Roman" w:cs="Times New Roman"/>
          <w:sz w:val="24"/>
          <w:szCs w:val="24"/>
        </w:rPr>
        <w:t xml:space="preserve"> também encontraram uma relação negativa entre a lucratividade e o endividamento, porém, os resultados foram obtidos de amostras compostas por empresas não financeiras.</w:t>
      </w:r>
      <w:r w:rsidR="00B4444C">
        <w:rPr>
          <w:rFonts w:ascii="Times New Roman" w:hAnsi="Times New Roman" w:cs="Times New Roman"/>
          <w:sz w:val="24"/>
          <w:szCs w:val="24"/>
        </w:rPr>
        <w:t xml:space="preserve"> Em geral, estes resultados corroboram a teoria do </w:t>
      </w:r>
      <w:proofErr w:type="spellStart"/>
      <w:r w:rsidR="00B4444C" w:rsidRPr="00C04EF6">
        <w:rPr>
          <w:rFonts w:ascii="Times New Roman" w:hAnsi="Times New Roman" w:cs="Times New Roman"/>
          <w:i/>
          <w:sz w:val="24"/>
          <w:szCs w:val="24"/>
        </w:rPr>
        <w:t>pecking</w:t>
      </w:r>
      <w:proofErr w:type="spellEnd"/>
      <w:r w:rsidR="00B4444C" w:rsidRPr="00C04EF6">
        <w:rPr>
          <w:rFonts w:ascii="Times New Roman" w:hAnsi="Times New Roman" w:cs="Times New Roman"/>
          <w:i/>
          <w:sz w:val="24"/>
          <w:szCs w:val="24"/>
        </w:rPr>
        <w:t xml:space="preserve"> </w:t>
      </w:r>
      <w:proofErr w:type="spellStart"/>
      <w:r w:rsidR="00B4444C" w:rsidRPr="00C04EF6">
        <w:rPr>
          <w:rFonts w:ascii="Times New Roman" w:hAnsi="Times New Roman" w:cs="Times New Roman"/>
          <w:i/>
          <w:sz w:val="24"/>
          <w:szCs w:val="24"/>
        </w:rPr>
        <w:t>order</w:t>
      </w:r>
      <w:proofErr w:type="spellEnd"/>
      <w:r w:rsidR="00B4444C">
        <w:rPr>
          <w:rFonts w:ascii="Times New Roman" w:hAnsi="Times New Roman" w:cs="Times New Roman"/>
          <w:sz w:val="24"/>
          <w:szCs w:val="24"/>
        </w:rPr>
        <w:t xml:space="preserve"> onde as empresas estão mais propensas a financiar suas atividades com base nos lucros acumulados, reduzindo o endividamento no financiamento de suas atividades.</w:t>
      </w:r>
    </w:p>
    <w:p w14:paraId="5E88E578" w14:textId="638D29BC" w:rsidR="00DF61CF" w:rsidRPr="00511B99" w:rsidRDefault="008627E6" w:rsidP="00FC4870">
      <w:pPr>
        <w:pStyle w:val="TNormal"/>
        <w:spacing w:after="120" w:line="240" w:lineRule="auto"/>
        <w:ind w:firstLine="567"/>
        <w:rPr>
          <w:szCs w:val="24"/>
        </w:rPr>
      </w:pPr>
      <w:r>
        <w:rPr>
          <w:szCs w:val="24"/>
        </w:rPr>
        <w:lastRenderedPageBreak/>
        <w:t>O sentido do coeficiente angular da variável LogAtivos está em convergência com a hipótese</w:t>
      </w:r>
      <w:r w:rsidR="00C93D3D">
        <w:rPr>
          <w:szCs w:val="24"/>
        </w:rPr>
        <w:t xml:space="preserve"> e resultados </w:t>
      </w:r>
      <w:r>
        <w:rPr>
          <w:szCs w:val="24"/>
        </w:rPr>
        <w:t xml:space="preserve">de </w:t>
      </w:r>
      <w:proofErr w:type="spellStart"/>
      <w:r w:rsidR="00C93D3D">
        <w:rPr>
          <w:szCs w:val="24"/>
        </w:rPr>
        <w:t>Brewer</w:t>
      </w:r>
      <w:proofErr w:type="spellEnd"/>
      <w:r w:rsidR="00C93D3D">
        <w:rPr>
          <w:szCs w:val="24"/>
        </w:rPr>
        <w:t>, Kaufman e Wall</w:t>
      </w:r>
      <w:r w:rsidR="00C93D3D" w:rsidRPr="00FC4870">
        <w:rPr>
          <w:szCs w:val="24"/>
        </w:rPr>
        <w:t xml:space="preserve"> (2008) e Ahmad, </w:t>
      </w:r>
      <w:proofErr w:type="spellStart"/>
      <w:r w:rsidR="00C93D3D" w:rsidRPr="00FC4870">
        <w:rPr>
          <w:szCs w:val="24"/>
        </w:rPr>
        <w:t>Ariff</w:t>
      </w:r>
      <w:proofErr w:type="spellEnd"/>
      <w:r w:rsidR="00C93D3D" w:rsidRPr="00FC4870">
        <w:rPr>
          <w:szCs w:val="24"/>
        </w:rPr>
        <w:t xml:space="preserve"> e </w:t>
      </w:r>
      <w:proofErr w:type="spellStart"/>
      <w:r w:rsidR="00C93D3D" w:rsidRPr="00FC4870">
        <w:rPr>
          <w:szCs w:val="24"/>
        </w:rPr>
        <w:t>Skully</w:t>
      </w:r>
      <w:proofErr w:type="spellEnd"/>
      <w:r w:rsidR="00C93D3D" w:rsidRPr="00FC4870">
        <w:rPr>
          <w:szCs w:val="24"/>
        </w:rPr>
        <w:t xml:space="preserve"> (2008) de que bancos </w:t>
      </w:r>
      <w:r>
        <w:rPr>
          <w:szCs w:val="24"/>
        </w:rPr>
        <w:t>maiores acumulam mais dívida.</w:t>
      </w:r>
      <w:r w:rsidR="00C93D3D">
        <w:rPr>
          <w:szCs w:val="24"/>
        </w:rPr>
        <w:t xml:space="preserve"> </w:t>
      </w:r>
      <w:r w:rsidR="00947F3A">
        <w:rPr>
          <w:szCs w:val="24"/>
        </w:rPr>
        <w:t xml:space="preserve">Os resultados também estão de acordo com os encontrados no trabalho de </w:t>
      </w:r>
      <w:proofErr w:type="spellStart"/>
      <w:r w:rsidR="00947F3A" w:rsidRPr="00FC4870">
        <w:rPr>
          <w:szCs w:val="24"/>
        </w:rPr>
        <w:t>Kleff</w:t>
      </w:r>
      <w:proofErr w:type="spellEnd"/>
      <w:r w:rsidR="00947F3A" w:rsidRPr="00FC4870">
        <w:rPr>
          <w:szCs w:val="24"/>
        </w:rPr>
        <w:t xml:space="preserve"> e Weber (2008). Porém, apenas </w:t>
      </w:r>
      <w:r w:rsidR="000828D0" w:rsidRPr="00FC4870">
        <w:rPr>
          <w:szCs w:val="24"/>
        </w:rPr>
        <w:t>os resultados converge</w:t>
      </w:r>
      <w:r w:rsidR="001B6019">
        <w:rPr>
          <w:szCs w:val="24"/>
        </w:rPr>
        <w:t>m</w:t>
      </w:r>
      <w:r w:rsidR="000828D0" w:rsidRPr="00FC4870">
        <w:rPr>
          <w:szCs w:val="24"/>
        </w:rPr>
        <w:t xml:space="preserve"> apenas </w:t>
      </w:r>
      <w:r w:rsidR="00947F3A" w:rsidRPr="00FC4870">
        <w:rPr>
          <w:szCs w:val="24"/>
        </w:rPr>
        <w:t xml:space="preserve">para </w:t>
      </w:r>
      <w:r w:rsidR="00DC18BD" w:rsidRPr="00FC4870">
        <w:rPr>
          <w:szCs w:val="24"/>
        </w:rPr>
        <w:t>a amostra composta por</w:t>
      </w:r>
      <w:r w:rsidR="00947F3A" w:rsidRPr="00FC4870">
        <w:rPr>
          <w:szCs w:val="24"/>
        </w:rPr>
        <w:t xml:space="preserve"> bancos, onde estes autores encontram evidências de que nas caixas econômicas, o efeito do tamanho no endividamento é </w:t>
      </w:r>
      <w:r w:rsidR="00A422BF" w:rsidRPr="00FC4870">
        <w:rPr>
          <w:szCs w:val="24"/>
        </w:rPr>
        <w:t>negativo</w:t>
      </w:r>
      <w:r w:rsidR="00947F3A" w:rsidRPr="00FC4870">
        <w:rPr>
          <w:szCs w:val="24"/>
        </w:rPr>
        <w:t>.</w:t>
      </w:r>
    </w:p>
    <w:p w14:paraId="40C1BED9" w14:textId="77777777" w:rsidR="007C0625" w:rsidRPr="005A4012" w:rsidRDefault="007C0625" w:rsidP="00FC4870">
      <w:pPr>
        <w:spacing w:before="240" w:after="0" w:line="240" w:lineRule="auto"/>
        <w:ind w:firstLine="490"/>
        <w:rPr>
          <w:rFonts w:ascii="Times New Roman" w:hAnsi="Times New Roman" w:cs="Times New Roman"/>
          <w:sz w:val="20"/>
          <w:szCs w:val="20"/>
        </w:rPr>
      </w:pPr>
      <w:r w:rsidRPr="005A4012">
        <w:rPr>
          <w:rFonts w:ascii="Times New Roman" w:hAnsi="Times New Roman" w:cs="Times New Roman"/>
          <w:sz w:val="20"/>
          <w:szCs w:val="20"/>
        </w:rPr>
        <w:t>Tabela 3 – Regressões em dados em painel balanceado e desbalanceado</w:t>
      </w:r>
    </w:p>
    <w:tbl>
      <w:tblPr>
        <w:tblStyle w:val="Tabelacomgrade"/>
        <w:tblW w:w="815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08"/>
        <w:gridCol w:w="964"/>
        <w:gridCol w:w="1247"/>
        <w:gridCol w:w="964"/>
        <w:gridCol w:w="964"/>
        <w:gridCol w:w="1247"/>
        <w:gridCol w:w="964"/>
      </w:tblGrid>
      <w:tr w:rsidR="009F7410" w:rsidRPr="00380DCA" w14:paraId="5898A998" w14:textId="77777777" w:rsidTr="009F7410">
        <w:trPr>
          <w:jc w:val="center"/>
        </w:trPr>
        <w:tc>
          <w:tcPr>
            <w:tcW w:w="1808" w:type="dxa"/>
            <w:vMerge w:val="restart"/>
            <w:vAlign w:val="center"/>
          </w:tcPr>
          <w:p w14:paraId="63C35562" w14:textId="77777777" w:rsidR="009F7410" w:rsidRPr="00380DCA" w:rsidRDefault="009F7410" w:rsidP="00C2461C">
            <w:pPr>
              <w:jc w:val="center"/>
              <w:rPr>
                <w:rFonts w:ascii="Times New Roman" w:hAnsi="Times New Roman" w:cs="Times New Roman"/>
                <w:sz w:val="20"/>
                <w:szCs w:val="20"/>
              </w:rPr>
            </w:pPr>
            <w:r w:rsidRPr="00380DCA">
              <w:rPr>
                <w:rFonts w:ascii="Times New Roman" w:hAnsi="Times New Roman" w:cs="Times New Roman"/>
                <w:sz w:val="20"/>
                <w:szCs w:val="20"/>
              </w:rPr>
              <w:t>Variáveis</w:t>
            </w:r>
          </w:p>
        </w:tc>
        <w:tc>
          <w:tcPr>
            <w:tcW w:w="3175" w:type="dxa"/>
            <w:gridSpan w:val="3"/>
          </w:tcPr>
          <w:p w14:paraId="57AF868A" w14:textId="4F7A375B" w:rsidR="009F7410" w:rsidRPr="00380DCA" w:rsidRDefault="009F7410" w:rsidP="00C2461C">
            <w:pPr>
              <w:jc w:val="center"/>
              <w:rPr>
                <w:rFonts w:ascii="Times New Roman" w:hAnsi="Times New Roman" w:cs="Times New Roman"/>
                <w:b/>
                <w:i/>
                <w:sz w:val="20"/>
                <w:szCs w:val="20"/>
              </w:rPr>
            </w:pPr>
            <w:proofErr w:type="gramStart"/>
            <w:r w:rsidRPr="00380DCA">
              <w:rPr>
                <w:rFonts w:ascii="Times New Roman" w:hAnsi="Times New Roman" w:cs="Times New Roman"/>
                <w:b/>
                <w:i/>
                <w:sz w:val="20"/>
                <w:szCs w:val="20"/>
              </w:rPr>
              <w:t>Painel Balanceado</w:t>
            </w:r>
            <w:proofErr w:type="gramEnd"/>
          </w:p>
        </w:tc>
        <w:tc>
          <w:tcPr>
            <w:tcW w:w="3175" w:type="dxa"/>
            <w:gridSpan w:val="3"/>
          </w:tcPr>
          <w:p w14:paraId="03C9323B" w14:textId="32BEA64D" w:rsidR="009F7410" w:rsidRPr="00380DCA" w:rsidRDefault="009F7410" w:rsidP="00C2461C">
            <w:pPr>
              <w:jc w:val="center"/>
              <w:rPr>
                <w:rFonts w:ascii="Times New Roman" w:hAnsi="Times New Roman" w:cs="Times New Roman"/>
                <w:b/>
                <w:i/>
                <w:sz w:val="20"/>
                <w:szCs w:val="20"/>
              </w:rPr>
            </w:pPr>
            <w:r w:rsidRPr="00380DCA">
              <w:rPr>
                <w:rFonts w:ascii="Times New Roman" w:hAnsi="Times New Roman" w:cs="Times New Roman"/>
                <w:b/>
                <w:i/>
                <w:sz w:val="20"/>
                <w:szCs w:val="20"/>
              </w:rPr>
              <w:t>Painel Desbalanceado</w:t>
            </w:r>
          </w:p>
        </w:tc>
      </w:tr>
      <w:tr w:rsidR="009F7410" w:rsidRPr="00380DCA" w14:paraId="7C280BD2" w14:textId="77777777" w:rsidTr="009F7410">
        <w:trPr>
          <w:jc w:val="center"/>
        </w:trPr>
        <w:tc>
          <w:tcPr>
            <w:tcW w:w="1808" w:type="dxa"/>
            <w:vMerge/>
          </w:tcPr>
          <w:p w14:paraId="73AF13D7" w14:textId="77777777" w:rsidR="009F7410" w:rsidRPr="00380DCA" w:rsidRDefault="009F7410" w:rsidP="00C2461C">
            <w:pPr>
              <w:jc w:val="center"/>
              <w:rPr>
                <w:rFonts w:ascii="Times New Roman" w:hAnsi="Times New Roman" w:cs="Times New Roman"/>
                <w:sz w:val="20"/>
                <w:szCs w:val="20"/>
              </w:rPr>
            </w:pPr>
          </w:p>
        </w:tc>
        <w:tc>
          <w:tcPr>
            <w:tcW w:w="964" w:type="dxa"/>
          </w:tcPr>
          <w:p w14:paraId="1E992754" w14:textId="77777777" w:rsidR="009F7410" w:rsidRPr="00380DCA" w:rsidRDefault="009F7410" w:rsidP="00C2461C">
            <w:pPr>
              <w:jc w:val="center"/>
              <w:rPr>
                <w:rFonts w:ascii="Times New Roman" w:hAnsi="Times New Roman" w:cs="Times New Roman"/>
                <w:sz w:val="20"/>
                <w:szCs w:val="20"/>
              </w:rPr>
            </w:pPr>
            <w:proofErr w:type="spellStart"/>
            <w:r w:rsidRPr="00380DCA">
              <w:rPr>
                <w:rFonts w:ascii="Times New Roman" w:hAnsi="Times New Roman" w:cs="Times New Roman"/>
                <w:sz w:val="20"/>
                <w:szCs w:val="20"/>
              </w:rPr>
              <w:t>Coef</w:t>
            </w:r>
            <w:proofErr w:type="spellEnd"/>
            <w:r w:rsidRPr="00380DCA">
              <w:rPr>
                <w:rFonts w:ascii="Times New Roman" w:hAnsi="Times New Roman" w:cs="Times New Roman"/>
                <w:sz w:val="20"/>
                <w:szCs w:val="20"/>
              </w:rPr>
              <w:t>.</w:t>
            </w:r>
          </w:p>
        </w:tc>
        <w:tc>
          <w:tcPr>
            <w:tcW w:w="1247" w:type="dxa"/>
          </w:tcPr>
          <w:p w14:paraId="38D17FA2" w14:textId="7C0E5BDE" w:rsidR="009F7410" w:rsidRPr="009F7410" w:rsidRDefault="009F7410" w:rsidP="00C2461C">
            <w:pPr>
              <w:jc w:val="center"/>
              <w:rPr>
                <w:rFonts w:ascii="Times New Roman" w:hAnsi="Times New Roman" w:cs="Times New Roman"/>
                <w:sz w:val="20"/>
                <w:szCs w:val="20"/>
              </w:rPr>
            </w:pPr>
            <w:r w:rsidRPr="009F7410">
              <w:rPr>
                <w:rFonts w:ascii="Times New Roman" w:hAnsi="Times New Roman" w:cs="Times New Roman"/>
                <w:sz w:val="20"/>
                <w:szCs w:val="20"/>
              </w:rPr>
              <w:t>Erro padrão</w:t>
            </w:r>
          </w:p>
        </w:tc>
        <w:tc>
          <w:tcPr>
            <w:tcW w:w="964" w:type="dxa"/>
          </w:tcPr>
          <w:p w14:paraId="74867DAE" w14:textId="0C7327FB" w:rsidR="009F7410" w:rsidRPr="00380DCA" w:rsidRDefault="009F7410" w:rsidP="00C2461C">
            <w:pPr>
              <w:jc w:val="center"/>
              <w:rPr>
                <w:rFonts w:ascii="Times New Roman" w:hAnsi="Times New Roman" w:cs="Times New Roman"/>
                <w:i/>
                <w:sz w:val="20"/>
                <w:szCs w:val="20"/>
              </w:rPr>
            </w:pPr>
            <w:proofErr w:type="gramStart"/>
            <w:r w:rsidRPr="00380DCA">
              <w:rPr>
                <w:rFonts w:ascii="Times New Roman" w:hAnsi="Times New Roman" w:cs="Times New Roman"/>
                <w:i/>
                <w:sz w:val="20"/>
                <w:szCs w:val="20"/>
              </w:rPr>
              <w:t>p</w:t>
            </w:r>
            <w:proofErr w:type="gramEnd"/>
            <w:r w:rsidRPr="00380DCA">
              <w:rPr>
                <w:rFonts w:ascii="Times New Roman" w:hAnsi="Times New Roman" w:cs="Times New Roman"/>
                <w:i/>
                <w:sz w:val="20"/>
                <w:szCs w:val="20"/>
              </w:rPr>
              <w:t>-value</w:t>
            </w:r>
          </w:p>
        </w:tc>
        <w:tc>
          <w:tcPr>
            <w:tcW w:w="964" w:type="dxa"/>
          </w:tcPr>
          <w:p w14:paraId="669076F1" w14:textId="77777777" w:rsidR="009F7410" w:rsidRPr="00380DCA" w:rsidRDefault="009F7410" w:rsidP="00C2461C">
            <w:pPr>
              <w:jc w:val="center"/>
              <w:rPr>
                <w:rFonts w:ascii="Times New Roman" w:hAnsi="Times New Roman" w:cs="Times New Roman"/>
                <w:sz w:val="20"/>
                <w:szCs w:val="20"/>
              </w:rPr>
            </w:pPr>
            <w:proofErr w:type="spellStart"/>
            <w:r w:rsidRPr="00380DCA">
              <w:rPr>
                <w:rFonts w:ascii="Times New Roman" w:hAnsi="Times New Roman" w:cs="Times New Roman"/>
                <w:sz w:val="20"/>
                <w:szCs w:val="20"/>
              </w:rPr>
              <w:t>Coef</w:t>
            </w:r>
            <w:proofErr w:type="spellEnd"/>
            <w:r w:rsidRPr="00380DCA">
              <w:rPr>
                <w:rFonts w:ascii="Times New Roman" w:hAnsi="Times New Roman" w:cs="Times New Roman"/>
                <w:sz w:val="20"/>
                <w:szCs w:val="20"/>
              </w:rPr>
              <w:t>.</w:t>
            </w:r>
          </w:p>
        </w:tc>
        <w:tc>
          <w:tcPr>
            <w:tcW w:w="1247" w:type="dxa"/>
          </w:tcPr>
          <w:p w14:paraId="65DA498C" w14:textId="21F53121" w:rsidR="009F7410" w:rsidRPr="00380DCA" w:rsidRDefault="009F7410" w:rsidP="00C2461C">
            <w:pPr>
              <w:jc w:val="center"/>
              <w:rPr>
                <w:rFonts w:ascii="Times New Roman" w:hAnsi="Times New Roman" w:cs="Times New Roman"/>
                <w:i/>
                <w:sz w:val="20"/>
                <w:szCs w:val="20"/>
              </w:rPr>
            </w:pPr>
            <w:r w:rsidRPr="009F7410">
              <w:rPr>
                <w:rFonts w:ascii="Times New Roman" w:hAnsi="Times New Roman" w:cs="Times New Roman"/>
                <w:sz w:val="20"/>
                <w:szCs w:val="20"/>
              </w:rPr>
              <w:t>Erro padrão</w:t>
            </w:r>
          </w:p>
        </w:tc>
        <w:tc>
          <w:tcPr>
            <w:tcW w:w="964" w:type="dxa"/>
          </w:tcPr>
          <w:p w14:paraId="4F2FE9C5" w14:textId="00A57085" w:rsidR="009F7410" w:rsidRPr="00380DCA" w:rsidRDefault="009F7410" w:rsidP="00C2461C">
            <w:pPr>
              <w:jc w:val="center"/>
              <w:rPr>
                <w:rFonts w:ascii="Times New Roman" w:hAnsi="Times New Roman" w:cs="Times New Roman"/>
                <w:i/>
                <w:sz w:val="20"/>
                <w:szCs w:val="20"/>
              </w:rPr>
            </w:pPr>
            <w:proofErr w:type="gramStart"/>
            <w:r w:rsidRPr="00380DCA">
              <w:rPr>
                <w:rFonts w:ascii="Times New Roman" w:hAnsi="Times New Roman" w:cs="Times New Roman"/>
                <w:i/>
                <w:sz w:val="20"/>
                <w:szCs w:val="20"/>
              </w:rPr>
              <w:t>p</w:t>
            </w:r>
            <w:proofErr w:type="gramEnd"/>
            <w:r w:rsidRPr="00380DCA">
              <w:rPr>
                <w:rFonts w:ascii="Times New Roman" w:hAnsi="Times New Roman" w:cs="Times New Roman"/>
                <w:i/>
                <w:sz w:val="20"/>
                <w:szCs w:val="20"/>
              </w:rPr>
              <w:t>-value</w:t>
            </w:r>
          </w:p>
        </w:tc>
      </w:tr>
      <w:tr w:rsidR="009F7410" w:rsidRPr="00380DCA" w14:paraId="60361C71" w14:textId="77777777" w:rsidTr="009F7410">
        <w:trPr>
          <w:trHeight w:val="1951"/>
          <w:jc w:val="center"/>
        </w:trPr>
        <w:tc>
          <w:tcPr>
            <w:tcW w:w="1808" w:type="dxa"/>
          </w:tcPr>
          <w:p w14:paraId="275A6EA7" w14:textId="77777777" w:rsidR="009F7410" w:rsidRDefault="009F7410" w:rsidP="00C2461C">
            <w:pPr>
              <w:rPr>
                <w:rFonts w:ascii="Times New Roman" w:eastAsiaTheme="minorEastAsia" w:hAnsi="Times New Roman" w:cs="Times New Roman"/>
                <w:sz w:val="20"/>
                <w:szCs w:val="20"/>
              </w:rPr>
            </w:pPr>
            <w:proofErr w:type="gramStart"/>
            <w:r>
              <w:rPr>
                <w:rFonts w:ascii="Times New Roman" w:eastAsiaTheme="minorEastAsia" w:hAnsi="Times New Roman" w:cs="Times New Roman"/>
                <w:sz w:val="20"/>
                <w:szCs w:val="20"/>
              </w:rPr>
              <w:t>constante</w:t>
            </w:r>
            <w:proofErr w:type="gramEnd"/>
          </w:p>
          <w:p w14:paraId="5353BDC8" w14:textId="77777777" w:rsidR="009F7410" w:rsidRDefault="009F7410" w:rsidP="00C2461C">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ROA</w:t>
            </w:r>
          </w:p>
          <w:p w14:paraId="4EA47593" w14:textId="77777777" w:rsidR="009F7410" w:rsidRDefault="009F7410" w:rsidP="00C2461C">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LogAtivos</w:t>
            </w:r>
          </w:p>
          <w:p w14:paraId="163F7307" w14:textId="77777777" w:rsidR="009F7410" w:rsidRDefault="009F7410" w:rsidP="00C2461C">
            <w:pPr>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CrescAtivo</w:t>
            </w:r>
            <w:proofErr w:type="spellEnd"/>
          </w:p>
          <w:p w14:paraId="1B2C993B" w14:textId="77777777" w:rsidR="009F7410" w:rsidRDefault="009F7410" w:rsidP="00C2461C">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Emp./Ativo</w:t>
            </w:r>
          </w:p>
          <w:p w14:paraId="18FF1D11" w14:textId="77777777" w:rsidR="009F7410" w:rsidRDefault="009F7410" w:rsidP="00C2461C">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Dep./Passivo</w:t>
            </w:r>
          </w:p>
          <w:p w14:paraId="0E0AC43C" w14:textId="77777777" w:rsidR="009F7410" w:rsidRDefault="009F7410" w:rsidP="00C2461C">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PIB</w:t>
            </w:r>
          </w:p>
          <w:p w14:paraId="4E16E7F8" w14:textId="77777777" w:rsidR="009F7410" w:rsidRDefault="009F7410" w:rsidP="00C2461C">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SELIC</w:t>
            </w:r>
          </w:p>
          <w:p w14:paraId="5FCDFB72" w14:textId="77777777" w:rsidR="009F7410" w:rsidRDefault="009F7410" w:rsidP="00C2461C">
            <w:pPr>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Bas</w:t>
            </w:r>
            <w:proofErr w:type="spellEnd"/>
            <w:r>
              <w:rPr>
                <w:rFonts w:ascii="Times New Roman" w:eastAsiaTheme="minorEastAsia" w:hAnsi="Times New Roman" w:cs="Times New Roman"/>
                <w:sz w:val="20"/>
                <w:szCs w:val="20"/>
              </w:rPr>
              <w:t>. II</w:t>
            </w:r>
          </w:p>
          <w:p w14:paraId="7C3422E5" w14:textId="77777777" w:rsidR="009F7410" w:rsidRDefault="009F7410" w:rsidP="00C2461C">
            <w:pPr>
              <w:rPr>
                <w:rFonts w:ascii="Times New Roman" w:eastAsiaTheme="minorEastAsia" w:hAnsi="Times New Roman" w:cs="Times New Roman"/>
                <w:sz w:val="20"/>
                <w:szCs w:val="20"/>
              </w:rPr>
            </w:pPr>
            <w:proofErr w:type="spellStart"/>
            <w:r>
              <w:rPr>
                <w:rFonts w:ascii="Times New Roman" w:eastAsiaTheme="minorEastAsia" w:hAnsi="Times New Roman" w:cs="Times New Roman"/>
                <w:sz w:val="20"/>
                <w:szCs w:val="20"/>
              </w:rPr>
              <w:t>Bas</w:t>
            </w:r>
            <w:proofErr w:type="spellEnd"/>
            <w:r>
              <w:rPr>
                <w:rFonts w:ascii="Times New Roman" w:eastAsiaTheme="minorEastAsia" w:hAnsi="Times New Roman" w:cs="Times New Roman"/>
                <w:sz w:val="20"/>
                <w:szCs w:val="20"/>
              </w:rPr>
              <w:t>. III</w:t>
            </w:r>
          </w:p>
          <w:p w14:paraId="772BAD44" w14:textId="77777777" w:rsidR="009F7410" w:rsidRPr="00380DCA" w:rsidRDefault="009F7410" w:rsidP="00C2461C">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IPCA</w:t>
            </w:r>
          </w:p>
        </w:tc>
        <w:tc>
          <w:tcPr>
            <w:tcW w:w="964" w:type="dxa"/>
          </w:tcPr>
          <w:p w14:paraId="61A2F021"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-0,874</w:t>
            </w:r>
          </w:p>
          <w:p w14:paraId="42E30784"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-0,944</w:t>
            </w:r>
          </w:p>
          <w:p w14:paraId="1AA43184"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0,224</w:t>
            </w:r>
          </w:p>
          <w:p w14:paraId="280C5146"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0,026</w:t>
            </w:r>
          </w:p>
          <w:p w14:paraId="7B96A65E"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0,213</w:t>
            </w:r>
          </w:p>
          <w:p w14:paraId="5D797056"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0,189</w:t>
            </w:r>
          </w:p>
          <w:p w14:paraId="16D78DC1"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0,359</w:t>
            </w:r>
          </w:p>
          <w:p w14:paraId="6665D7EA"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0,836</w:t>
            </w:r>
          </w:p>
          <w:p w14:paraId="6C190BB0"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-0,079</w:t>
            </w:r>
          </w:p>
          <w:p w14:paraId="17E25D6B"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-0,037</w:t>
            </w:r>
          </w:p>
          <w:p w14:paraId="62269CB9" w14:textId="77777777" w:rsidR="009F7410" w:rsidRPr="00380DCA"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-0,209</w:t>
            </w:r>
          </w:p>
        </w:tc>
        <w:tc>
          <w:tcPr>
            <w:tcW w:w="1247" w:type="dxa"/>
          </w:tcPr>
          <w:p w14:paraId="167C97D8" w14:textId="27B660D3" w:rsidR="009F7410" w:rsidRDefault="009F7410" w:rsidP="00C2461C">
            <w:pPr>
              <w:jc w:val="right"/>
              <w:rPr>
                <w:rFonts w:ascii="Times New Roman" w:hAnsi="Times New Roman" w:cs="Times New Roman"/>
                <w:sz w:val="20"/>
                <w:szCs w:val="20"/>
              </w:rPr>
            </w:pPr>
            <w:r>
              <w:rPr>
                <w:rFonts w:ascii="Times New Roman" w:hAnsi="Times New Roman" w:cs="Times New Roman"/>
                <w:sz w:val="20"/>
                <w:szCs w:val="20"/>
              </w:rPr>
              <w:t>0,199</w:t>
            </w:r>
          </w:p>
          <w:p w14:paraId="44D9F543" w14:textId="06B007E2"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0,138</w:t>
            </w:r>
          </w:p>
          <w:p w14:paraId="0118B2D7" w14:textId="547839FA"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0,030</w:t>
            </w:r>
          </w:p>
          <w:p w14:paraId="2B91803A" w14:textId="1292B5DE"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0,026</w:t>
            </w:r>
          </w:p>
          <w:p w14:paraId="0216678E" w14:textId="77777777"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0,065</w:t>
            </w:r>
          </w:p>
          <w:p w14:paraId="25BC3E0F" w14:textId="77777777"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0,052</w:t>
            </w:r>
          </w:p>
          <w:p w14:paraId="08EB366C" w14:textId="77777777"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0,099</w:t>
            </w:r>
          </w:p>
          <w:p w14:paraId="42938129" w14:textId="7D0EA97F"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0,106</w:t>
            </w:r>
          </w:p>
          <w:p w14:paraId="2FCED704" w14:textId="368956F0"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0,014</w:t>
            </w:r>
          </w:p>
          <w:p w14:paraId="2D1B751E" w14:textId="4DD8FAF2"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0,014</w:t>
            </w:r>
          </w:p>
          <w:p w14:paraId="7F4555C4" w14:textId="1168D060" w:rsidR="009F7410" w:rsidRP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0,114</w:t>
            </w:r>
          </w:p>
        </w:tc>
        <w:tc>
          <w:tcPr>
            <w:tcW w:w="964" w:type="dxa"/>
          </w:tcPr>
          <w:p w14:paraId="7E5750A7" w14:textId="581A2D36" w:rsidR="009F7410" w:rsidRDefault="009F7410" w:rsidP="00C2461C">
            <w:pPr>
              <w:jc w:val="right"/>
              <w:rPr>
                <w:rFonts w:ascii="Times New Roman" w:hAnsi="Times New Roman" w:cs="Times New Roman"/>
                <w:sz w:val="20"/>
                <w:szCs w:val="20"/>
              </w:rPr>
            </w:pPr>
            <w:r w:rsidRPr="00514782">
              <w:rPr>
                <w:rFonts w:ascii="Times New Roman" w:hAnsi="Times New Roman" w:cs="Times New Roman"/>
                <w:sz w:val="20"/>
                <w:szCs w:val="20"/>
                <w:vertAlign w:val="superscript"/>
              </w:rPr>
              <w:t>***</w:t>
            </w:r>
            <w:r>
              <w:rPr>
                <w:rFonts w:ascii="Times New Roman" w:hAnsi="Times New Roman" w:cs="Times New Roman"/>
                <w:sz w:val="20"/>
                <w:szCs w:val="20"/>
              </w:rPr>
              <w:t>0,000</w:t>
            </w:r>
          </w:p>
          <w:p w14:paraId="76BE02A3" w14:textId="77777777" w:rsidR="009F7410" w:rsidRDefault="009F7410" w:rsidP="00C2461C">
            <w:pPr>
              <w:jc w:val="right"/>
              <w:rPr>
                <w:rFonts w:ascii="Times New Roman" w:hAnsi="Times New Roman" w:cs="Times New Roman"/>
                <w:sz w:val="20"/>
                <w:szCs w:val="20"/>
              </w:rPr>
            </w:pPr>
            <w:r w:rsidRPr="00514782">
              <w:rPr>
                <w:rFonts w:ascii="Times New Roman" w:hAnsi="Times New Roman" w:cs="Times New Roman"/>
                <w:sz w:val="20"/>
                <w:szCs w:val="20"/>
                <w:vertAlign w:val="superscript"/>
              </w:rPr>
              <w:t>***</w:t>
            </w:r>
            <w:r>
              <w:rPr>
                <w:rFonts w:ascii="Times New Roman" w:hAnsi="Times New Roman" w:cs="Times New Roman"/>
                <w:sz w:val="20"/>
                <w:szCs w:val="20"/>
              </w:rPr>
              <w:t>0,000</w:t>
            </w:r>
          </w:p>
          <w:p w14:paraId="72781DAC" w14:textId="77777777" w:rsidR="009F7410" w:rsidRDefault="009F7410" w:rsidP="00C2461C">
            <w:pPr>
              <w:jc w:val="right"/>
              <w:rPr>
                <w:rFonts w:ascii="Times New Roman" w:hAnsi="Times New Roman" w:cs="Times New Roman"/>
                <w:sz w:val="20"/>
                <w:szCs w:val="20"/>
              </w:rPr>
            </w:pPr>
            <w:r w:rsidRPr="00514782">
              <w:rPr>
                <w:rFonts w:ascii="Times New Roman" w:hAnsi="Times New Roman" w:cs="Times New Roman"/>
                <w:sz w:val="20"/>
                <w:szCs w:val="20"/>
                <w:vertAlign w:val="superscript"/>
              </w:rPr>
              <w:t>***</w:t>
            </w:r>
            <w:r>
              <w:rPr>
                <w:rFonts w:ascii="Times New Roman" w:hAnsi="Times New Roman" w:cs="Times New Roman"/>
                <w:sz w:val="20"/>
                <w:szCs w:val="20"/>
              </w:rPr>
              <w:t>0,000</w:t>
            </w:r>
          </w:p>
          <w:p w14:paraId="0517566F" w14:textId="77777777" w:rsidR="009F7410" w:rsidRDefault="009F7410" w:rsidP="00C2461C">
            <w:pPr>
              <w:jc w:val="right"/>
              <w:rPr>
                <w:rFonts w:ascii="Times New Roman" w:hAnsi="Times New Roman" w:cs="Times New Roman"/>
                <w:sz w:val="20"/>
                <w:szCs w:val="20"/>
              </w:rPr>
            </w:pPr>
            <w:r w:rsidRPr="00514782">
              <w:rPr>
                <w:rFonts w:ascii="Times New Roman" w:hAnsi="Times New Roman" w:cs="Times New Roman"/>
                <w:sz w:val="20"/>
                <w:szCs w:val="20"/>
                <w:vertAlign w:val="superscript"/>
              </w:rPr>
              <w:t>***</w:t>
            </w:r>
            <w:r>
              <w:rPr>
                <w:rFonts w:ascii="Times New Roman" w:hAnsi="Times New Roman" w:cs="Times New Roman"/>
                <w:sz w:val="20"/>
                <w:szCs w:val="20"/>
              </w:rPr>
              <w:t>0,000</w:t>
            </w:r>
          </w:p>
          <w:p w14:paraId="6B5B990B"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0,001</w:t>
            </w:r>
          </w:p>
          <w:p w14:paraId="340B2818"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2B0DE62E"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4F4434CC"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06AA57E5"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4FFAA13D"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0,007</w:t>
            </w:r>
          </w:p>
          <w:p w14:paraId="5D089213" w14:textId="77777777" w:rsidR="009F7410" w:rsidRPr="00380DCA"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0,065</w:t>
            </w:r>
          </w:p>
        </w:tc>
        <w:tc>
          <w:tcPr>
            <w:tcW w:w="964" w:type="dxa"/>
          </w:tcPr>
          <w:p w14:paraId="2CD8D8D7"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-0,990</w:t>
            </w:r>
          </w:p>
          <w:p w14:paraId="16038633"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-0,761</w:t>
            </w:r>
          </w:p>
          <w:p w14:paraId="2040210E"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0,251</w:t>
            </w:r>
          </w:p>
          <w:p w14:paraId="5740D759"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0,008</w:t>
            </w:r>
          </w:p>
          <w:p w14:paraId="6D925330"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0,234</w:t>
            </w:r>
          </w:p>
          <w:p w14:paraId="218E3AD2"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0,158</w:t>
            </w:r>
          </w:p>
          <w:p w14:paraId="687350CB"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0,385</w:t>
            </w:r>
          </w:p>
          <w:p w14:paraId="2AEF7907"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0,839</w:t>
            </w:r>
          </w:p>
          <w:p w14:paraId="4002CFFE"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-0,102</w:t>
            </w:r>
          </w:p>
          <w:p w14:paraId="46F223EE" w14:textId="77777777" w:rsidR="009F7410"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-0,030</w:t>
            </w:r>
          </w:p>
          <w:p w14:paraId="52594770" w14:textId="77777777" w:rsidR="009F7410" w:rsidRPr="00380DCA" w:rsidRDefault="009F7410" w:rsidP="00C2461C">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-0,372</w:t>
            </w:r>
          </w:p>
        </w:tc>
        <w:tc>
          <w:tcPr>
            <w:tcW w:w="1247" w:type="dxa"/>
          </w:tcPr>
          <w:p w14:paraId="0BDECB43" w14:textId="77777777" w:rsidR="009F7410" w:rsidRDefault="009F7410"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0,122</w:t>
            </w:r>
          </w:p>
          <w:p w14:paraId="394B5F11" w14:textId="77777777" w:rsidR="009F7410"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0,100</w:t>
            </w:r>
          </w:p>
          <w:p w14:paraId="379378BC" w14:textId="77777777" w:rsidR="00967EA5"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0,019</w:t>
            </w:r>
          </w:p>
          <w:p w14:paraId="18A08903" w14:textId="77777777" w:rsidR="00967EA5"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0,003</w:t>
            </w:r>
          </w:p>
          <w:p w14:paraId="775E8D15" w14:textId="77777777" w:rsidR="00967EA5"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0,044</w:t>
            </w:r>
          </w:p>
          <w:p w14:paraId="0F036CF5" w14:textId="77777777" w:rsidR="00967EA5"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0,034</w:t>
            </w:r>
          </w:p>
          <w:p w14:paraId="382623BE" w14:textId="77777777" w:rsidR="00967EA5"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0,102</w:t>
            </w:r>
          </w:p>
          <w:p w14:paraId="438F3967" w14:textId="77777777" w:rsidR="00967EA5"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0,090</w:t>
            </w:r>
          </w:p>
          <w:p w14:paraId="689A0825" w14:textId="77777777" w:rsidR="00967EA5"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0,013</w:t>
            </w:r>
          </w:p>
          <w:p w14:paraId="01008244" w14:textId="2081C527" w:rsidR="00967EA5"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0,010</w:t>
            </w:r>
          </w:p>
          <w:p w14:paraId="17D52FC1" w14:textId="7626A4DA" w:rsidR="00967EA5" w:rsidRPr="009F7410" w:rsidRDefault="00967EA5" w:rsidP="009F7410">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0,108</w:t>
            </w:r>
          </w:p>
        </w:tc>
        <w:tc>
          <w:tcPr>
            <w:tcW w:w="964" w:type="dxa"/>
          </w:tcPr>
          <w:p w14:paraId="461675B2" w14:textId="024478A6"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66ADF79E"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3B014CF4"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3BF1FD57"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0,016</w:t>
            </w:r>
          </w:p>
          <w:p w14:paraId="4D90BE22"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44DAFBCA"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1FFA3B44"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5DC07319"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3B0C664A"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p w14:paraId="65BD0769" w14:textId="77777777" w:rsidR="009F7410"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0,003</w:t>
            </w:r>
          </w:p>
          <w:p w14:paraId="1FD241E1" w14:textId="77777777" w:rsidR="009F7410" w:rsidRPr="00380DCA"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tc>
      </w:tr>
      <w:tr w:rsidR="009F7410" w:rsidRPr="00380DCA" w14:paraId="099655DB" w14:textId="77777777" w:rsidTr="009F7410">
        <w:trPr>
          <w:jc w:val="center"/>
        </w:trPr>
        <w:tc>
          <w:tcPr>
            <w:tcW w:w="1808" w:type="dxa"/>
          </w:tcPr>
          <w:p w14:paraId="16EE14BD" w14:textId="0B921DBC" w:rsidR="009F7410" w:rsidRPr="00380DCA" w:rsidRDefault="009F7410" w:rsidP="00C2461C">
            <w:pPr>
              <w:jc w:val="both"/>
              <w:rPr>
                <w:rFonts w:ascii="Times New Roman" w:hAnsi="Times New Roman" w:cs="Times New Roman"/>
                <w:sz w:val="20"/>
                <w:szCs w:val="20"/>
              </w:rPr>
            </w:pPr>
            <w:r w:rsidRPr="00380DCA">
              <w:rPr>
                <w:rFonts w:ascii="Times New Roman" w:hAnsi="Times New Roman" w:cs="Times New Roman"/>
                <w:sz w:val="20"/>
                <w:szCs w:val="20"/>
              </w:rPr>
              <w:t>R² ajustado</w:t>
            </w:r>
          </w:p>
          <w:p w14:paraId="469E4989" w14:textId="77777777" w:rsidR="009F7410" w:rsidRPr="00380DCA" w:rsidRDefault="009F7410" w:rsidP="00C2461C">
            <w:pPr>
              <w:jc w:val="both"/>
              <w:rPr>
                <w:rFonts w:ascii="Times New Roman" w:hAnsi="Times New Roman" w:cs="Times New Roman"/>
                <w:sz w:val="20"/>
                <w:szCs w:val="20"/>
              </w:rPr>
            </w:pPr>
            <w:r w:rsidRPr="00380DCA">
              <w:rPr>
                <w:rFonts w:ascii="Times New Roman" w:hAnsi="Times New Roman" w:cs="Times New Roman"/>
                <w:sz w:val="20"/>
                <w:szCs w:val="20"/>
              </w:rPr>
              <w:t>Estatística F</w:t>
            </w:r>
          </w:p>
        </w:tc>
        <w:tc>
          <w:tcPr>
            <w:tcW w:w="964" w:type="dxa"/>
          </w:tcPr>
          <w:p w14:paraId="4177F36C" w14:textId="77777777" w:rsidR="009F7410" w:rsidRDefault="009F7410" w:rsidP="00C2461C">
            <w:pPr>
              <w:jc w:val="right"/>
              <w:rPr>
                <w:rFonts w:ascii="Times New Roman" w:hAnsi="Times New Roman" w:cs="Times New Roman"/>
                <w:sz w:val="20"/>
                <w:szCs w:val="20"/>
              </w:rPr>
            </w:pPr>
          </w:p>
          <w:p w14:paraId="31C24A3B" w14:textId="77777777" w:rsidR="009F7410" w:rsidRPr="00380DCA" w:rsidRDefault="009F7410" w:rsidP="00C2461C">
            <w:pPr>
              <w:jc w:val="right"/>
              <w:rPr>
                <w:rFonts w:ascii="Times New Roman" w:hAnsi="Times New Roman" w:cs="Times New Roman"/>
                <w:sz w:val="20"/>
                <w:szCs w:val="20"/>
              </w:rPr>
            </w:pPr>
            <w:r>
              <w:rPr>
                <w:rFonts w:ascii="Times New Roman" w:hAnsi="Times New Roman" w:cs="Times New Roman"/>
                <w:sz w:val="20"/>
                <w:szCs w:val="20"/>
              </w:rPr>
              <w:t>52,552</w:t>
            </w:r>
          </w:p>
        </w:tc>
        <w:tc>
          <w:tcPr>
            <w:tcW w:w="1247" w:type="dxa"/>
          </w:tcPr>
          <w:p w14:paraId="4D07D94D" w14:textId="308F622B" w:rsidR="009F7410" w:rsidRDefault="009F7410" w:rsidP="00C2461C">
            <w:pPr>
              <w:jc w:val="right"/>
              <w:rPr>
                <w:rFonts w:ascii="Times New Roman" w:hAnsi="Times New Roman" w:cs="Times New Roman"/>
                <w:sz w:val="20"/>
                <w:szCs w:val="20"/>
              </w:rPr>
            </w:pPr>
          </w:p>
        </w:tc>
        <w:tc>
          <w:tcPr>
            <w:tcW w:w="964" w:type="dxa"/>
          </w:tcPr>
          <w:p w14:paraId="05A684AA" w14:textId="21F848A6" w:rsidR="009F7410" w:rsidRDefault="009F7410" w:rsidP="00C2461C">
            <w:pPr>
              <w:jc w:val="right"/>
              <w:rPr>
                <w:rFonts w:ascii="Times New Roman" w:hAnsi="Times New Roman" w:cs="Times New Roman"/>
                <w:sz w:val="20"/>
                <w:szCs w:val="20"/>
              </w:rPr>
            </w:pPr>
            <w:r>
              <w:rPr>
                <w:rFonts w:ascii="Times New Roman" w:hAnsi="Times New Roman" w:cs="Times New Roman"/>
                <w:sz w:val="20"/>
                <w:szCs w:val="20"/>
              </w:rPr>
              <w:t>0,776</w:t>
            </w:r>
          </w:p>
          <w:p w14:paraId="603C2F52" w14:textId="70F97F4E" w:rsidR="009F7410" w:rsidRPr="00380DCA"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tc>
        <w:tc>
          <w:tcPr>
            <w:tcW w:w="964" w:type="dxa"/>
          </w:tcPr>
          <w:p w14:paraId="7FF03427" w14:textId="77777777" w:rsidR="009F7410" w:rsidRDefault="009F7410" w:rsidP="00C2461C">
            <w:pPr>
              <w:jc w:val="right"/>
              <w:rPr>
                <w:rFonts w:ascii="Times New Roman" w:hAnsi="Times New Roman" w:cs="Times New Roman"/>
                <w:sz w:val="20"/>
                <w:szCs w:val="20"/>
              </w:rPr>
            </w:pPr>
          </w:p>
          <w:p w14:paraId="3D0DB46E" w14:textId="77777777" w:rsidR="009F7410" w:rsidRPr="00380DCA" w:rsidRDefault="009F7410" w:rsidP="00C2461C">
            <w:pPr>
              <w:jc w:val="right"/>
              <w:rPr>
                <w:rFonts w:ascii="Times New Roman" w:hAnsi="Times New Roman" w:cs="Times New Roman"/>
                <w:sz w:val="20"/>
                <w:szCs w:val="20"/>
              </w:rPr>
            </w:pPr>
            <w:r>
              <w:rPr>
                <w:rFonts w:ascii="Times New Roman" w:hAnsi="Times New Roman" w:cs="Times New Roman"/>
                <w:sz w:val="20"/>
                <w:szCs w:val="20"/>
              </w:rPr>
              <w:t>31,394</w:t>
            </w:r>
          </w:p>
        </w:tc>
        <w:tc>
          <w:tcPr>
            <w:tcW w:w="1247" w:type="dxa"/>
          </w:tcPr>
          <w:p w14:paraId="5452981D" w14:textId="77777777" w:rsidR="009F7410" w:rsidRDefault="009F7410" w:rsidP="00C2461C">
            <w:pPr>
              <w:jc w:val="right"/>
              <w:rPr>
                <w:rFonts w:ascii="Times New Roman" w:hAnsi="Times New Roman" w:cs="Times New Roman"/>
                <w:sz w:val="20"/>
                <w:szCs w:val="20"/>
              </w:rPr>
            </w:pPr>
          </w:p>
        </w:tc>
        <w:tc>
          <w:tcPr>
            <w:tcW w:w="964" w:type="dxa"/>
          </w:tcPr>
          <w:p w14:paraId="51CFA7F7" w14:textId="6895C279" w:rsidR="009F7410" w:rsidRDefault="009F7410" w:rsidP="00C2461C">
            <w:pPr>
              <w:jc w:val="right"/>
              <w:rPr>
                <w:rFonts w:ascii="Times New Roman" w:hAnsi="Times New Roman" w:cs="Times New Roman"/>
                <w:sz w:val="20"/>
                <w:szCs w:val="20"/>
              </w:rPr>
            </w:pPr>
            <w:r>
              <w:rPr>
                <w:rFonts w:ascii="Times New Roman" w:hAnsi="Times New Roman" w:cs="Times New Roman"/>
                <w:sz w:val="20"/>
                <w:szCs w:val="20"/>
              </w:rPr>
              <w:t>0,775</w:t>
            </w:r>
          </w:p>
          <w:p w14:paraId="266B9DED" w14:textId="43C7738E" w:rsidR="009F7410" w:rsidRPr="00380DCA" w:rsidRDefault="009F7410" w:rsidP="00C2461C">
            <w:pPr>
              <w:jc w:val="right"/>
              <w:rPr>
                <w:rFonts w:ascii="Times New Roman" w:hAnsi="Times New Roman" w:cs="Times New Roman"/>
                <w:sz w:val="20"/>
                <w:szCs w:val="20"/>
              </w:rPr>
            </w:pPr>
            <w:r w:rsidRPr="0063515A">
              <w:rPr>
                <w:rFonts w:ascii="Times New Roman" w:hAnsi="Times New Roman" w:cs="Times New Roman"/>
                <w:sz w:val="20"/>
                <w:szCs w:val="20"/>
                <w:vertAlign w:val="superscript"/>
              </w:rPr>
              <w:t>***</w:t>
            </w:r>
            <w:r>
              <w:rPr>
                <w:rFonts w:ascii="Times New Roman" w:hAnsi="Times New Roman" w:cs="Times New Roman"/>
                <w:sz w:val="20"/>
                <w:szCs w:val="20"/>
              </w:rPr>
              <w:t>0,000</w:t>
            </w:r>
          </w:p>
        </w:tc>
      </w:tr>
    </w:tbl>
    <w:p w14:paraId="67687458" w14:textId="77777777" w:rsidR="007C0625" w:rsidRPr="00DE5D4F" w:rsidRDefault="007C0625" w:rsidP="0011050F">
      <w:pPr>
        <w:spacing w:line="240" w:lineRule="auto"/>
        <w:ind w:left="567"/>
        <w:jc w:val="both"/>
        <w:rPr>
          <w:rFonts w:ascii="Times New Roman" w:hAnsi="Times New Roman" w:cs="Times New Roman"/>
          <w:sz w:val="20"/>
          <w:szCs w:val="20"/>
        </w:rPr>
      </w:pPr>
      <w:r w:rsidRPr="00DE5D4F">
        <w:rPr>
          <w:rFonts w:ascii="Times New Roman" w:hAnsi="Times New Roman" w:cs="Times New Roman"/>
          <w:sz w:val="20"/>
          <w:szCs w:val="20"/>
        </w:rPr>
        <w:t>Fonte: Elaboração Própria</w:t>
      </w:r>
    </w:p>
    <w:p w14:paraId="4E0B9BEC" w14:textId="59B9119A" w:rsidR="00711935" w:rsidRDefault="00711935" w:rsidP="00DF61C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A análise da variável de crescimento dos ativos indica que ao expandir suas atividades, os bancos estão financiando este crescimento principalmente através de capital de terceiros, sendo que ao captar mais dívida, estes recursos podem estar sendo usados principalmente para o financiamento de mais empréstimos, como indica a variável Empréstimos/Ativos Totais.</w:t>
      </w:r>
    </w:p>
    <w:p w14:paraId="223560CF" w14:textId="77777777" w:rsidR="00426CB3" w:rsidRDefault="00711935" w:rsidP="00DF61C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Conforme proposto na hipótese sobre a variável Depósitos/Passivo Exigível, uma maior quantidade de recursos captados via depósitos está ligada a um maior endividamento por parte das instituições financeiras, sinalizando que a captação de recursos a um custo mais barato incentiva estes a captar mais dinheiro, aumentando sua dívida.</w:t>
      </w:r>
    </w:p>
    <w:p w14:paraId="0C45780D" w14:textId="7190E37B" w:rsidR="003E6077" w:rsidRDefault="00711935" w:rsidP="00DF61C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426CB3">
        <w:rPr>
          <w:rFonts w:ascii="Times New Roman" w:hAnsi="Times New Roman" w:cs="Times New Roman"/>
          <w:sz w:val="24"/>
          <w:szCs w:val="24"/>
        </w:rPr>
        <w:t>o contrário esperado, a</w:t>
      </w:r>
      <w:r>
        <w:rPr>
          <w:rFonts w:ascii="Times New Roman" w:hAnsi="Times New Roman" w:cs="Times New Roman"/>
          <w:sz w:val="24"/>
          <w:szCs w:val="24"/>
        </w:rPr>
        <w:t xml:space="preserve"> análise da variável PIB sinaliza que o crescimento da economia, que pode estar ligado ao crescimento do número de operações totais, também impacta positivamente o endividamento das instituições financeiras. Uma possível hipótese para este resultado é a de que pelo aumento no número de operações, os bancos precisam de mais recursos para fornecer aos tomadores de empréstimos, financiando estas operações pela captação de mais dívida no mercado financeiro</w:t>
      </w:r>
      <w:r w:rsidR="00426CB3">
        <w:rPr>
          <w:rFonts w:ascii="Times New Roman" w:hAnsi="Times New Roman" w:cs="Times New Roman"/>
          <w:sz w:val="24"/>
          <w:szCs w:val="24"/>
        </w:rPr>
        <w:t>, que é a forma mais rápida de levantar recursos no curto prazo</w:t>
      </w:r>
      <w:r>
        <w:rPr>
          <w:rFonts w:ascii="Times New Roman" w:hAnsi="Times New Roman" w:cs="Times New Roman"/>
          <w:sz w:val="24"/>
          <w:szCs w:val="24"/>
        </w:rPr>
        <w:t>.</w:t>
      </w:r>
      <w:r w:rsidR="00426CB3">
        <w:rPr>
          <w:rFonts w:ascii="Times New Roman" w:hAnsi="Times New Roman" w:cs="Times New Roman"/>
          <w:sz w:val="24"/>
          <w:szCs w:val="24"/>
        </w:rPr>
        <w:t xml:space="preserve"> </w:t>
      </w:r>
    </w:p>
    <w:p w14:paraId="6D611BF2" w14:textId="40E71DB5" w:rsidR="00711935" w:rsidRPr="00426CB3" w:rsidRDefault="00426CB3" w:rsidP="00DF61CF">
      <w:pPr>
        <w:spacing w:after="120" w:line="240" w:lineRule="auto"/>
        <w:ind w:firstLine="567"/>
        <w:jc w:val="both"/>
        <w:rPr>
          <w:rFonts w:ascii="Times New Roman" w:hAnsi="Times New Roman" w:cs="Times New Roman"/>
          <w:sz w:val="24"/>
          <w:szCs w:val="24"/>
        </w:rPr>
      </w:pPr>
      <w:r w:rsidRPr="00426CB3">
        <w:rPr>
          <w:rFonts w:ascii="Times New Roman" w:hAnsi="Times New Roman" w:cs="Times New Roman"/>
          <w:sz w:val="24"/>
          <w:szCs w:val="24"/>
        </w:rPr>
        <w:t xml:space="preserve">Tais resultados estão em desacordo com o exposto por </w:t>
      </w:r>
      <w:proofErr w:type="spellStart"/>
      <w:r w:rsidRPr="00FC4870">
        <w:rPr>
          <w:rFonts w:ascii="Times New Roman" w:hAnsi="Times New Roman" w:cs="Times New Roman"/>
          <w:sz w:val="24"/>
          <w:szCs w:val="24"/>
        </w:rPr>
        <w:t>Brewer</w:t>
      </w:r>
      <w:proofErr w:type="spellEnd"/>
      <w:r w:rsidRPr="00FC4870">
        <w:rPr>
          <w:rFonts w:ascii="Times New Roman" w:hAnsi="Times New Roman" w:cs="Times New Roman"/>
          <w:sz w:val="24"/>
          <w:szCs w:val="24"/>
        </w:rPr>
        <w:t xml:space="preserve">, Kaufman e Wall (2008), que argumentam que esta variável se relaciona negativamente com o endividamento. Os resultados também estão em desacordo com a teoria do </w:t>
      </w:r>
      <w:proofErr w:type="spellStart"/>
      <w:r w:rsidRPr="00C04EF6">
        <w:rPr>
          <w:rFonts w:ascii="Times New Roman" w:hAnsi="Times New Roman" w:cs="Times New Roman"/>
          <w:i/>
          <w:sz w:val="24"/>
          <w:szCs w:val="24"/>
        </w:rPr>
        <w:t>pecking</w:t>
      </w:r>
      <w:proofErr w:type="spellEnd"/>
      <w:r w:rsidRPr="00C04EF6">
        <w:rPr>
          <w:rFonts w:ascii="Times New Roman" w:hAnsi="Times New Roman" w:cs="Times New Roman"/>
          <w:i/>
          <w:sz w:val="24"/>
          <w:szCs w:val="24"/>
        </w:rPr>
        <w:t xml:space="preserve"> </w:t>
      </w:r>
      <w:proofErr w:type="spellStart"/>
      <w:r w:rsidRPr="00C04EF6">
        <w:rPr>
          <w:rFonts w:ascii="Times New Roman" w:hAnsi="Times New Roman" w:cs="Times New Roman"/>
          <w:i/>
          <w:sz w:val="24"/>
          <w:szCs w:val="24"/>
        </w:rPr>
        <w:t>order</w:t>
      </w:r>
      <w:proofErr w:type="spellEnd"/>
      <w:r w:rsidRPr="00FC4870">
        <w:rPr>
          <w:rFonts w:ascii="Times New Roman" w:hAnsi="Times New Roman" w:cs="Times New Roman"/>
          <w:sz w:val="24"/>
          <w:szCs w:val="24"/>
        </w:rPr>
        <w:t>, onde os lucros retidos seriam os primeiros recursos utilizad</w:t>
      </w:r>
      <w:r w:rsidR="00E348C8" w:rsidRPr="00FC4870">
        <w:rPr>
          <w:rFonts w:ascii="Times New Roman" w:hAnsi="Times New Roman" w:cs="Times New Roman"/>
          <w:sz w:val="24"/>
          <w:szCs w:val="24"/>
        </w:rPr>
        <w:t>os para financiar as atividades</w:t>
      </w:r>
      <w:r w:rsidR="003E6077" w:rsidRPr="00FC4870">
        <w:rPr>
          <w:rFonts w:ascii="Times New Roman" w:hAnsi="Times New Roman" w:cs="Times New Roman"/>
          <w:sz w:val="24"/>
          <w:szCs w:val="24"/>
        </w:rPr>
        <w:t>.</w:t>
      </w:r>
      <w:r w:rsidR="00D923A2" w:rsidRPr="00FC4870">
        <w:rPr>
          <w:rFonts w:ascii="Times New Roman" w:hAnsi="Times New Roman" w:cs="Times New Roman"/>
          <w:sz w:val="24"/>
          <w:szCs w:val="24"/>
        </w:rPr>
        <w:t xml:space="preserve"> Apesar de encontrar uma relação positiva entre crescimento do PIB e o endividamento bancário, Jucá (2011) argumenta que os bancos estão mais propensos a reter capital quando a economia mostra sinais de baixo crescimento, explicação condizente com os resultados encontrados neste trabalho. </w:t>
      </w:r>
    </w:p>
    <w:p w14:paraId="0D6BE952" w14:textId="45297197" w:rsidR="005B05F8" w:rsidRDefault="00711935" w:rsidP="00DF61C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variável representativa da taxa de juros básica da economia (SELIC) também influi positivamente no volume de dívida das instituições. </w:t>
      </w:r>
      <w:r w:rsidR="005B05F8">
        <w:rPr>
          <w:rFonts w:ascii="Times New Roman" w:hAnsi="Times New Roman" w:cs="Times New Roman"/>
          <w:sz w:val="24"/>
          <w:szCs w:val="24"/>
        </w:rPr>
        <w:t xml:space="preserve">Esta influência pode estar ligada ao fato de os bancos incentivarem as operações de depósitos, os quais são remunerados a taxas mais baixas ou até mesmo não remunerados. Com uma maior captação, o banco estará apto a emprestar mais capital a taxas de juros maiores, obtendo alta lucratividade com essas operações. Convergente com seus objetivos, as variáveis </w:t>
      </w:r>
      <w:proofErr w:type="spellStart"/>
      <w:r w:rsidR="005B05F8" w:rsidRPr="0063515A">
        <w:rPr>
          <w:rFonts w:ascii="Times New Roman" w:hAnsi="Times New Roman" w:cs="Times New Roman"/>
          <w:i/>
          <w:sz w:val="24"/>
          <w:szCs w:val="24"/>
        </w:rPr>
        <w:t>dummies</w:t>
      </w:r>
      <w:proofErr w:type="spellEnd"/>
      <w:r w:rsidR="005B05F8">
        <w:rPr>
          <w:rFonts w:ascii="Times New Roman" w:hAnsi="Times New Roman" w:cs="Times New Roman"/>
          <w:sz w:val="24"/>
          <w:szCs w:val="24"/>
        </w:rPr>
        <w:t xml:space="preserve"> representativas da entrada em vigor dos </w:t>
      </w:r>
      <w:r w:rsidR="005B05F8">
        <w:rPr>
          <w:rFonts w:ascii="Times New Roman" w:hAnsi="Times New Roman" w:cs="Times New Roman"/>
          <w:sz w:val="24"/>
          <w:szCs w:val="24"/>
        </w:rPr>
        <w:lastRenderedPageBreak/>
        <w:t xml:space="preserve">Acordos de Capital Basileia II e III, o coeficiente angular destas variáveis indica uma menor propensão </w:t>
      </w:r>
      <w:r w:rsidR="003E65D7">
        <w:rPr>
          <w:rFonts w:ascii="Times New Roman" w:hAnsi="Times New Roman" w:cs="Times New Roman"/>
          <w:sz w:val="24"/>
          <w:szCs w:val="24"/>
        </w:rPr>
        <w:t>dos bancos a</w:t>
      </w:r>
      <w:r w:rsidR="005B05F8">
        <w:rPr>
          <w:rFonts w:ascii="Times New Roman" w:hAnsi="Times New Roman" w:cs="Times New Roman"/>
          <w:sz w:val="24"/>
          <w:szCs w:val="24"/>
        </w:rPr>
        <w:t xml:space="preserve"> endividar-se, após a instauração de tais acordos.</w:t>
      </w:r>
    </w:p>
    <w:p w14:paraId="2643BBD9" w14:textId="02F1F8AC" w:rsidR="005B05F8" w:rsidRPr="00DF61CF" w:rsidRDefault="005B05F8" w:rsidP="00DF61C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Por fim, é feita a análise da variável representativa da inflação, o IPCA.</w:t>
      </w:r>
      <w:r w:rsidR="00E256AE">
        <w:rPr>
          <w:rFonts w:ascii="Times New Roman" w:hAnsi="Times New Roman" w:cs="Times New Roman"/>
          <w:sz w:val="24"/>
          <w:szCs w:val="24"/>
        </w:rPr>
        <w:t xml:space="preserve"> Ao contrário da hipótese de </w:t>
      </w:r>
      <w:r w:rsidR="00E256AE" w:rsidRPr="00C362DB">
        <w:rPr>
          <w:rFonts w:ascii="Times New Roman" w:hAnsi="Times New Roman" w:cs="Times New Roman"/>
          <w:sz w:val="24"/>
          <w:szCs w:val="24"/>
        </w:rPr>
        <w:t>Hortlund (2005)</w:t>
      </w:r>
      <w:r w:rsidR="00E256AE">
        <w:rPr>
          <w:rFonts w:ascii="Times New Roman" w:hAnsi="Times New Roman" w:cs="Times New Roman"/>
          <w:sz w:val="24"/>
          <w:szCs w:val="24"/>
        </w:rPr>
        <w:t xml:space="preserve"> de que a inflação automaticamente influencia positivamente no endividamento das </w:t>
      </w:r>
      <w:r w:rsidR="00C663AD">
        <w:rPr>
          <w:rFonts w:ascii="Times New Roman" w:hAnsi="Times New Roman" w:cs="Times New Roman"/>
          <w:sz w:val="24"/>
          <w:szCs w:val="24"/>
        </w:rPr>
        <w:t xml:space="preserve">instituições financeiras, a análise do coeficiente </w:t>
      </w:r>
      <w:proofErr w:type="gramStart"/>
      <w:r w:rsidR="00C663AD">
        <w:rPr>
          <w:rFonts w:ascii="Times New Roman" w:hAnsi="Times New Roman" w:cs="Times New Roman"/>
          <w:sz w:val="24"/>
          <w:szCs w:val="24"/>
        </w:rPr>
        <w:t xml:space="preserve">angular </w:t>
      </w:r>
      <m:oMath>
        <m:r>
          <w:rPr>
            <w:rFonts w:ascii="Cambria Math" w:hAnsi="Cambria Math" w:cs="Times New Roman"/>
            <w:sz w:val="24"/>
            <w:szCs w:val="24"/>
          </w:rPr>
          <m:t>β</m:t>
        </m:r>
      </m:oMath>
      <w:r w:rsidR="00C663AD">
        <w:rPr>
          <w:rFonts w:ascii="Times New Roman" w:eastAsiaTheme="minorEastAsia" w:hAnsi="Times New Roman" w:cs="Times New Roman"/>
          <w:sz w:val="24"/>
          <w:szCs w:val="24"/>
        </w:rPr>
        <w:t xml:space="preserve"> indica</w:t>
      </w:r>
      <w:proofErr w:type="gramEnd"/>
      <w:r w:rsidR="00C663AD">
        <w:rPr>
          <w:rFonts w:ascii="Times New Roman" w:eastAsiaTheme="minorEastAsia" w:hAnsi="Times New Roman" w:cs="Times New Roman"/>
          <w:sz w:val="24"/>
          <w:szCs w:val="24"/>
        </w:rPr>
        <w:t xml:space="preserve"> que esta influi negativamente no endividamento.</w:t>
      </w:r>
      <w:r w:rsidR="00C92D70">
        <w:rPr>
          <w:rFonts w:ascii="Times New Roman" w:eastAsiaTheme="minorEastAsia" w:hAnsi="Times New Roman" w:cs="Times New Roman"/>
          <w:sz w:val="24"/>
          <w:szCs w:val="24"/>
        </w:rPr>
        <w:t xml:space="preserve"> </w:t>
      </w:r>
      <w:r w:rsidR="00303279">
        <w:rPr>
          <w:rFonts w:ascii="Times New Roman" w:eastAsiaTheme="minorEastAsia" w:hAnsi="Times New Roman" w:cs="Times New Roman"/>
          <w:sz w:val="24"/>
          <w:szCs w:val="24"/>
        </w:rPr>
        <w:t>Uma possível explicação está no fato de que o aumento da inflação está ligado também a um aumento na taxa de retorno requerida pelos bancos para suas operações de crédito, o que diminui a disposição dos tomadores de crédito a fazer estas operações. Deste modo, os bancos não precisarão aumentar sua dívida para financiar mais operações de crédito, pois a demanda terá se reduzido.</w:t>
      </w:r>
    </w:p>
    <w:p w14:paraId="677C5676" w14:textId="08ABC9E1" w:rsidR="00D30537" w:rsidRPr="00C362DB" w:rsidRDefault="0063515A" w:rsidP="00C8253C">
      <w:pPr>
        <w:spacing w:after="120" w:line="240" w:lineRule="auto"/>
        <w:jc w:val="both"/>
        <w:rPr>
          <w:rFonts w:ascii="Times New Roman" w:hAnsi="Times New Roman" w:cs="Times New Roman"/>
          <w:b/>
          <w:sz w:val="24"/>
          <w:szCs w:val="24"/>
        </w:rPr>
      </w:pPr>
      <w:r w:rsidRPr="00C362DB">
        <w:rPr>
          <w:rFonts w:ascii="Times New Roman" w:hAnsi="Times New Roman" w:cs="Times New Roman"/>
          <w:b/>
          <w:sz w:val="24"/>
          <w:szCs w:val="24"/>
        </w:rPr>
        <w:t>5 CONSIDERAÇÕES FINAIS</w:t>
      </w:r>
    </w:p>
    <w:p w14:paraId="2DECEE3C" w14:textId="25B8D04D" w:rsidR="00D31AD2" w:rsidRDefault="00666358" w:rsidP="00666358">
      <w:pPr>
        <w:spacing w:after="120" w:line="240" w:lineRule="auto"/>
        <w:ind w:firstLine="567"/>
        <w:jc w:val="both"/>
        <w:rPr>
          <w:rFonts w:ascii="Times New Roman" w:hAnsi="Times New Roman" w:cs="Times New Roman"/>
          <w:sz w:val="24"/>
          <w:szCs w:val="24"/>
        </w:rPr>
      </w:pPr>
      <w:r w:rsidRPr="00FC4870">
        <w:rPr>
          <w:rFonts w:ascii="Times New Roman" w:hAnsi="Times New Roman" w:cs="Times New Roman"/>
          <w:sz w:val="24"/>
          <w:szCs w:val="24"/>
        </w:rPr>
        <w:t>A</w:t>
      </w:r>
      <w:r w:rsidR="003E65D7" w:rsidRPr="00FC4870">
        <w:rPr>
          <w:rFonts w:ascii="Times New Roman" w:hAnsi="Times New Roman" w:cs="Times New Roman"/>
          <w:sz w:val="24"/>
          <w:szCs w:val="24"/>
        </w:rPr>
        <w:t xml:space="preserve"> alta</w:t>
      </w:r>
      <w:r w:rsidRPr="00FC4870">
        <w:rPr>
          <w:rFonts w:ascii="Times New Roman" w:hAnsi="Times New Roman" w:cs="Times New Roman"/>
          <w:sz w:val="24"/>
          <w:szCs w:val="24"/>
        </w:rPr>
        <w:t xml:space="preserve"> inflação pode gerar </w:t>
      </w:r>
      <w:r w:rsidR="003E65D7" w:rsidRPr="00FC4870">
        <w:rPr>
          <w:rFonts w:ascii="Times New Roman" w:hAnsi="Times New Roman" w:cs="Times New Roman"/>
          <w:sz w:val="24"/>
          <w:szCs w:val="24"/>
        </w:rPr>
        <w:t xml:space="preserve">consequências catastróficas para a economia de um país. A corrosão do poder de compra da moeda pode desencadear fuga de investimentos e menor demanda por operações de crédito, as quais utilizam-se de taxas de juros com a inflação imbutida nestas. </w:t>
      </w:r>
      <w:r w:rsidR="003E65D7" w:rsidRPr="00C362DB">
        <w:rPr>
          <w:rFonts w:ascii="Times New Roman" w:hAnsi="Times New Roman" w:cs="Times New Roman"/>
          <w:sz w:val="24"/>
          <w:szCs w:val="24"/>
        </w:rPr>
        <w:t>Hortlund (2005)</w:t>
      </w:r>
      <w:r w:rsidR="003E65D7">
        <w:rPr>
          <w:rFonts w:ascii="Times New Roman" w:hAnsi="Times New Roman" w:cs="Times New Roman"/>
          <w:sz w:val="24"/>
          <w:szCs w:val="24"/>
        </w:rPr>
        <w:t xml:space="preserve"> afirmam que a inflação gera um aumento no endividamento dos bancos pelo fato de este fenômeno aumentar a base monetária de uma economia, sendo que parte desse dinheiro é depositado no banco. A utilização deste dinheiro em operações de crédito gera lucros, que são tributados pelo governo. Com base no lucro contábil gerado por estas instituições, é pago o dividendo aos acionistas, muitas das vezes sendo este obrigatório, o que, junto com a tributação sobre o lucro, descapitaliza tais instituições, apresentando estas um maior endividamento.</w:t>
      </w:r>
    </w:p>
    <w:p w14:paraId="7275A145" w14:textId="2895EE98" w:rsidR="003E65D7" w:rsidRDefault="003E65D7" w:rsidP="00666358">
      <w:pPr>
        <w:spacing w:after="120" w:line="240" w:lineRule="auto"/>
        <w:ind w:firstLine="567"/>
        <w:jc w:val="both"/>
        <w:rPr>
          <w:rFonts w:ascii="Times New Roman" w:hAnsi="Times New Roman" w:cs="Times New Roman"/>
          <w:sz w:val="24"/>
          <w:szCs w:val="24"/>
        </w:rPr>
      </w:pPr>
      <w:r w:rsidRPr="00FC4870">
        <w:rPr>
          <w:rFonts w:ascii="Times New Roman" w:hAnsi="Times New Roman" w:cs="Times New Roman"/>
          <w:sz w:val="24"/>
          <w:szCs w:val="24"/>
        </w:rPr>
        <w:t xml:space="preserve">Este trabalho analisou a relação entre o endividamento das instituições financeiras brasileiras e a taxa de inflação do período de 1996 a 2013. Os resultados deste trabalho indicam resultados contrários à teoria de </w:t>
      </w:r>
      <w:r w:rsidRPr="00C362DB">
        <w:rPr>
          <w:rFonts w:ascii="Times New Roman" w:hAnsi="Times New Roman" w:cs="Times New Roman"/>
          <w:sz w:val="24"/>
          <w:szCs w:val="24"/>
        </w:rPr>
        <w:t>Hortlund (2005)</w:t>
      </w:r>
      <w:r>
        <w:rPr>
          <w:rFonts w:ascii="Times New Roman" w:hAnsi="Times New Roman" w:cs="Times New Roman"/>
          <w:sz w:val="24"/>
          <w:szCs w:val="24"/>
        </w:rPr>
        <w:t>, utilizando-se da baixa demanda por crédito em um contexto inflacionário como explicação para a relação inversa encontrada entre a taxa de inflação (medida pelo IPCA) e o endividamento das instituições financeiras.</w:t>
      </w:r>
    </w:p>
    <w:p w14:paraId="1AEEFCB0" w14:textId="1CC8E3ED" w:rsidR="003E65D7" w:rsidRDefault="003E65D7" w:rsidP="00666358">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Dentre os achados desta pesquisa, destaca-se o fato de que os Acordos de Capital Basileia II e III impactaram no endividamento auferidos pelas instituições financeiras no período em que suas disposições começaram a entrar em vigor. De acordo com o previsto, as instituições financeiras maiores mostraram uma maior propensão ao endividamento</w:t>
      </w:r>
      <w:r w:rsidR="00A30DC1">
        <w:rPr>
          <w:rFonts w:ascii="Times New Roman" w:hAnsi="Times New Roman" w:cs="Times New Roman"/>
          <w:sz w:val="24"/>
          <w:szCs w:val="24"/>
        </w:rPr>
        <w:t xml:space="preserve">. As variáveis ligadas direta ou indiretamente a um aumento de operações dos bancos como o crescimento do PIB, Depósitos/Passivo Exigível, Empréstimos/Ativo Total e crescimento dos Ativos também </w:t>
      </w:r>
      <w:r w:rsidR="00A311DA">
        <w:rPr>
          <w:rFonts w:ascii="Times New Roman" w:hAnsi="Times New Roman" w:cs="Times New Roman"/>
          <w:sz w:val="24"/>
          <w:szCs w:val="24"/>
        </w:rPr>
        <w:t>se apresentaram</w:t>
      </w:r>
      <w:r w:rsidR="00A30DC1">
        <w:rPr>
          <w:rFonts w:ascii="Times New Roman" w:hAnsi="Times New Roman" w:cs="Times New Roman"/>
          <w:sz w:val="24"/>
          <w:szCs w:val="24"/>
        </w:rPr>
        <w:t xml:space="preserve"> relevantes no endividamento destas instituições, tendo estas um impacto positivo neste indicador.</w:t>
      </w:r>
    </w:p>
    <w:p w14:paraId="7BAD5616" w14:textId="0762A75D" w:rsidR="00A30DC1" w:rsidRPr="00FC4870" w:rsidRDefault="00A30DC1" w:rsidP="00666358">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Futuras pesquisas nesta área podem analisar esta teoria no período de hiperinflação viv</w:t>
      </w:r>
      <w:r w:rsidR="007C05EF">
        <w:rPr>
          <w:rFonts w:ascii="Times New Roman" w:hAnsi="Times New Roman" w:cs="Times New Roman"/>
          <w:sz w:val="24"/>
          <w:szCs w:val="24"/>
        </w:rPr>
        <w:t>enciado</w:t>
      </w:r>
      <w:r>
        <w:rPr>
          <w:rFonts w:ascii="Times New Roman" w:hAnsi="Times New Roman" w:cs="Times New Roman"/>
          <w:sz w:val="24"/>
          <w:szCs w:val="24"/>
        </w:rPr>
        <w:t xml:space="preserve"> pela economia brasileira, que resultou em vários planos macroeconômicos e constante substituição de unidade monetária. A utilização de outros modelos e métodos quantitativos pode também oferecer uma visão e explicação diferente da relação entre tais variáveis, além de que este estudo pode ser analisado em ambientes econômicos de diferentes países.</w:t>
      </w:r>
    </w:p>
    <w:p w14:paraId="058363A5" w14:textId="133757C6" w:rsidR="00981EFF" w:rsidRPr="00C362DB" w:rsidRDefault="0063515A" w:rsidP="00C8253C">
      <w:pPr>
        <w:spacing w:after="120" w:line="240" w:lineRule="auto"/>
        <w:jc w:val="both"/>
        <w:rPr>
          <w:rFonts w:ascii="Times New Roman" w:hAnsi="Times New Roman" w:cs="Times New Roman"/>
          <w:b/>
          <w:sz w:val="24"/>
          <w:szCs w:val="24"/>
          <w:lang w:val="en-US"/>
        </w:rPr>
      </w:pPr>
      <w:r w:rsidRPr="00C362DB">
        <w:rPr>
          <w:rFonts w:ascii="Times New Roman" w:hAnsi="Times New Roman" w:cs="Times New Roman"/>
          <w:b/>
          <w:sz w:val="24"/>
          <w:szCs w:val="24"/>
          <w:lang w:val="en-US"/>
        </w:rPr>
        <w:t>REFERÊNCIAS</w:t>
      </w:r>
      <w:r>
        <w:rPr>
          <w:rFonts w:ascii="Times New Roman" w:hAnsi="Times New Roman" w:cs="Times New Roman"/>
          <w:b/>
          <w:sz w:val="24"/>
          <w:szCs w:val="24"/>
          <w:lang w:val="en-US"/>
        </w:rPr>
        <w:t xml:space="preserve"> BIBLIOGRÁFICAS</w:t>
      </w:r>
    </w:p>
    <w:p w14:paraId="6E17A5B1" w14:textId="7A0113E3" w:rsidR="00217541" w:rsidRPr="00FC4870" w:rsidRDefault="00217541" w:rsidP="00C8253C">
      <w:pPr>
        <w:autoSpaceDE w:val="0"/>
        <w:autoSpaceDN w:val="0"/>
        <w:adjustRightInd w:val="0"/>
        <w:spacing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val="en-US" w:eastAsia="pt-BR"/>
        </w:rPr>
        <w:t xml:space="preserve">AHMAD, R.; ARIFF, M.; SKULLY, M. The determinants of bank capital ratios in a developing economy. </w:t>
      </w:r>
      <w:proofErr w:type="spellStart"/>
      <w:r w:rsidRPr="00FC4870">
        <w:rPr>
          <w:rFonts w:ascii="Times New Roman" w:eastAsia="Times New Roman" w:hAnsi="Times New Roman" w:cs="Times New Roman"/>
          <w:b/>
          <w:sz w:val="24"/>
          <w:szCs w:val="24"/>
          <w:lang w:eastAsia="pt-BR"/>
        </w:rPr>
        <w:t>Asia</w:t>
      </w:r>
      <w:proofErr w:type="spellEnd"/>
      <w:r w:rsidRPr="00FC4870">
        <w:rPr>
          <w:rFonts w:ascii="Times New Roman" w:eastAsia="Times New Roman" w:hAnsi="Times New Roman" w:cs="Times New Roman"/>
          <w:b/>
          <w:sz w:val="24"/>
          <w:szCs w:val="24"/>
          <w:lang w:eastAsia="pt-BR"/>
        </w:rPr>
        <w:t xml:space="preserve">-Pacific Financial </w:t>
      </w:r>
      <w:proofErr w:type="spellStart"/>
      <w:r w:rsidRPr="00FC4870">
        <w:rPr>
          <w:rFonts w:ascii="Times New Roman" w:eastAsia="Times New Roman" w:hAnsi="Times New Roman" w:cs="Times New Roman"/>
          <w:b/>
          <w:sz w:val="24"/>
          <w:szCs w:val="24"/>
          <w:lang w:eastAsia="pt-BR"/>
        </w:rPr>
        <w:t>Markets</w:t>
      </w:r>
      <w:proofErr w:type="spellEnd"/>
      <w:r w:rsidRPr="00FC4870">
        <w:rPr>
          <w:rFonts w:ascii="Times New Roman" w:eastAsia="Times New Roman" w:hAnsi="Times New Roman" w:cs="Times New Roman"/>
          <w:sz w:val="24"/>
          <w:szCs w:val="24"/>
          <w:lang w:eastAsia="pt-BR"/>
        </w:rPr>
        <w:t>, v. 15, n. 3, p. 255-272, 2008.</w:t>
      </w:r>
    </w:p>
    <w:p w14:paraId="51697D45" w14:textId="219030BB" w:rsidR="00766A46" w:rsidRPr="00FC4870" w:rsidRDefault="00F92A4A" w:rsidP="00C8253C">
      <w:pPr>
        <w:autoSpaceDE w:val="0"/>
        <w:autoSpaceDN w:val="0"/>
        <w:adjustRightInd w:val="0"/>
        <w:spacing w:after="120" w:line="240" w:lineRule="auto"/>
        <w:jc w:val="both"/>
        <w:rPr>
          <w:rFonts w:ascii="Times New Roman" w:eastAsia="Times New Roman" w:hAnsi="Times New Roman" w:cs="Times New Roman"/>
          <w:sz w:val="24"/>
          <w:szCs w:val="24"/>
          <w:lang w:eastAsia="pt-BR"/>
        </w:rPr>
      </w:pPr>
      <w:r w:rsidRPr="00FC4870">
        <w:rPr>
          <w:rFonts w:ascii="Times New Roman" w:eastAsia="Times New Roman" w:hAnsi="Times New Roman" w:cs="Times New Roman"/>
          <w:sz w:val="24"/>
          <w:szCs w:val="24"/>
          <w:lang w:eastAsia="pt-BR"/>
        </w:rPr>
        <w:t>A</w:t>
      </w:r>
      <w:r w:rsidR="004F5358" w:rsidRPr="00FC4870">
        <w:rPr>
          <w:rFonts w:ascii="Times New Roman" w:eastAsia="Times New Roman" w:hAnsi="Times New Roman" w:cs="Times New Roman"/>
          <w:sz w:val="24"/>
          <w:szCs w:val="24"/>
          <w:lang w:eastAsia="pt-BR"/>
        </w:rPr>
        <w:t>N</w:t>
      </w:r>
      <w:r w:rsidRPr="00FC4870">
        <w:rPr>
          <w:rFonts w:ascii="Times New Roman" w:eastAsia="Times New Roman" w:hAnsi="Times New Roman" w:cs="Times New Roman"/>
          <w:sz w:val="24"/>
          <w:szCs w:val="24"/>
          <w:lang w:eastAsia="pt-BR"/>
        </w:rPr>
        <w:t xml:space="preserve">BIMA. </w:t>
      </w:r>
      <w:r w:rsidRPr="00FC4870">
        <w:rPr>
          <w:rFonts w:ascii="Times New Roman" w:eastAsia="Times New Roman" w:hAnsi="Times New Roman" w:cs="Times New Roman"/>
          <w:b/>
          <w:sz w:val="24"/>
          <w:szCs w:val="24"/>
          <w:lang w:eastAsia="pt-BR"/>
        </w:rPr>
        <w:t>Basiléia III: novos desafios para adequação da regulação bancária.</w:t>
      </w:r>
      <w:r w:rsidRPr="00FC4870">
        <w:rPr>
          <w:rFonts w:ascii="Times New Roman" w:eastAsia="Times New Roman" w:hAnsi="Times New Roman" w:cs="Times New Roman"/>
          <w:sz w:val="24"/>
          <w:szCs w:val="24"/>
          <w:lang w:eastAsia="pt-BR"/>
        </w:rPr>
        <w:t xml:space="preserve"> 2010.</w:t>
      </w:r>
    </w:p>
    <w:p w14:paraId="457AD263" w14:textId="7925E013" w:rsidR="00E91B48" w:rsidRDefault="00E91B48" w:rsidP="00C8253C">
      <w:pPr>
        <w:pStyle w:val="TReferncias"/>
        <w:spacing w:after="120"/>
        <w:rPr>
          <w:szCs w:val="24"/>
        </w:rPr>
      </w:pPr>
      <w:r>
        <w:rPr>
          <w:szCs w:val="24"/>
        </w:rPr>
        <w:t xml:space="preserve">ASSAF NETO, A. </w:t>
      </w:r>
      <w:r w:rsidRPr="00E91B48">
        <w:rPr>
          <w:b/>
          <w:szCs w:val="24"/>
        </w:rPr>
        <w:t>Mercado financeiro</w:t>
      </w:r>
      <w:r>
        <w:rPr>
          <w:szCs w:val="24"/>
        </w:rPr>
        <w:t>. 10º Ed., São Paulo: Editora Atlas S. A., 2011.</w:t>
      </w:r>
    </w:p>
    <w:p w14:paraId="33AA2F68" w14:textId="214F3A68" w:rsidR="004F5358" w:rsidRPr="00FC4870" w:rsidRDefault="004F5358" w:rsidP="00C8253C">
      <w:pPr>
        <w:pStyle w:val="TReferncias"/>
        <w:spacing w:after="120"/>
        <w:rPr>
          <w:szCs w:val="24"/>
          <w:lang w:val="en-GB"/>
        </w:rPr>
      </w:pPr>
      <w:r w:rsidRPr="00FC4870">
        <w:rPr>
          <w:szCs w:val="24"/>
          <w:lang w:val="en-GB"/>
        </w:rPr>
        <w:lastRenderedPageBreak/>
        <w:t xml:space="preserve">BALTHAZAR, L. </w:t>
      </w:r>
      <w:r w:rsidRPr="00FC4870">
        <w:rPr>
          <w:b/>
          <w:szCs w:val="24"/>
          <w:lang w:val="en-GB"/>
        </w:rPr>
        <w:t xml:space="preserve">From </w:t>
      </w:r>
      <w:proofErr w:type="spellStart"/>
      <w:proofErr w:type="gramStart"/>
      <w:r w:rsidRPr="00FC4870">
        <w:rPr>
          <w:b/>
          <w:szCs w:val="24"/>
          <w:lang w:val="en-GB"/>
        </w:rPr>
        <w:t>basel</w:t>
      </w:r>
      <w:proofErr w:type="spellEnd"/>
      <w:proofErr w:type="gramEnd"/>
      <w:r w:rsidRPr="00FC4870">
        <w:rPr>
          <w:b/>
          <w:szCs w:val="24"/>
          <w:lang w:val="en-GB"/>
        </w:rPr>
        <w:t xml:space="preserve"> 1 to </w:t>
      </w:r>
      <w:proofErr w:type="spellStart"/>
      <w:r w:rsidRPr="00FC4870">
        <w:rPr>
          <w:b/>
          <w:szCs w:val="24"/>
          <w:lang w:val="en-GB"/>
        </w:rPr>
        <w:t>basel</w:t>
      </w:r>
      <w:proofErr w:type="spellEnd"/>
      <w:r w:rsidRPr="00FC4870">
        <w:rPr>
          <w:b/>
          <w:szCs w:val="24"/>
          <w:lang w:val="en-GB"/>
        </w:rPr>
        <w:t xml:space="preserve"> 3: the integration of state-of-the-art risk </w:t>
      </w:r>
      <w:proofErr w:type="spellStart"/>
      <w:r w:rsidRPr="00FC4870">
        <w:rPr>
          <w:b/>
          <w:szCs w:val="24"/>
          <w:lang w:val="en-GB"/>
        </w:rPr>
        <w:t>modeling</w:t>
      </w:r>
      <w:proofErr w:type="spellEnd"/>
      <w:r w:rsidRPr="00FC4870">
        <w:rPr>
          <w:b/>
          <w:szCs w:val="24"/>
          <w:lang w:val="en-GB"/>
        </w:rPr>
        <w:t xml:space="preserve"> in banking regulation.</w:t>
      </w:r>
      <w:r w:rsidRPr="00FC4870">
        <w:rPr>
          <w:szCs w:val="24"/>
          <w:lang w:val="en-GB"/>
        </w:rPr>
        <w:t xml:space="preserve"> </w:t>
      </w:r>
      <w:proofErr w:type="gramStart"/>
      <w:r w:rsidRPr="00FC4870">
        <w:rPr>
          <w:szCs w:val="24"/>
          <w:lang w:val="en-GB"/>
        </w:rPr>
        <w:t>1</w:t>
      </w:r>
      <w:proofErr w:type="gramEnd"/>
      <w:r w:rsidRPr="00FC4870">
        <w:rPr>
          <w:szCs w:val="24"/>
          <w:lang w:val="en-GB"/>
        </w:rPr>
        <w:t xml:space="preserve">º ed., </w:t>
      </w:r>
      <w:proofErr w:type="spellStart"/>
      <w:r w:rsidRPr="00FC4870">
        <w:rPr>
          <w:szCs w:val="24"/>
          <w:lang w:val="en-GB"/>
        </w:rPr>
        <w:t>Londres</w:t>
      </w:r>
      <w:proofErr w:type="spellEnd"/>
      <w:r w:rsidRPr="00FC4870">
        <w:rPr>
          <w:szCs w:val="24"/>
          <w:lang w:val="en-GB"/>
        </w:rPr>
        <w:t>: Palgrave Macmillan, 2006.</w:t>
      </w:r>
    </w:p>
    <w:p w14:paraId="631E4323" w14:textId="294F8226" w:rsidR="00160AD2" w:rsidRDefault="00160AD2" w:rsidP="00C8253C">
      <w:pPr>
        <w:pStyle w:val="TReferncias"/>
        <w:spacing w:after="120"/>
        <w:rPr>
          <w:szCs w:val="24"/>
        </w:rPr>
      </w:pPr>
      <w:r w:rsidRPr="00FC4870">
        <w:rPr>
          <w:szCs w:val="24"/>
          <w:lang w:val="en-GB"/>
        </w:rPr>
        <w:t xml:space="preserve">BARTH, A.; SCHNABEL, I. Why banks are not too big to fail – evidence from the CDS market. </w:t>
      </w:r>
      <w:proofErr w:type="spellStart"/>
      <w:r w:rsidRPr="00FC4870">
        <w:rPr>
          <w:b/>
          <w:szCs w:val="24"/>
        </w:rPr>
        <w:t>Economic</w:t>
      </w:r>
      <w:proofErr w:type="spellEnd"/>
      <w:r w:rsidRPr="00FC4870">
        <w:rPr>
          <w:b/>
          <w:szCs w:val="24"/>
        </w:rPr>
        <w:t xml:space="preserve"> </w:t>
      </w:r>
      <w:proofErr w:type="spellStart"/>
      <w:r w:rsidRPr="00FC4870">
        <w:rPr>
          <w:b/>
          <w:szCs w:val="24"/>
        </w:rPr>
        <w:t>Policy</w:t>
      </w:r>
      <w:proofErr w:type="spellEnd"/>
      <w:r>
        <w:rPr>
          <w:szCs w:val="24"/>
        </w:rPr>
        <w:t>, v. 28, n. 74, p. 335-369, 2013.</w:t>
      </w:r>
    </w:p>
    <w:p w14:paraId="32597BBE" w14:textId="77777777" w:rsidR="00D31AD2" w:rsidRPr="00FC4870" w:rsidRDefault="00D31AD2" w:rsidP="00D31AD2">
      <w:pPr>
        <w:spacing w:after="120" w:line="240" w:lineRule="auto"/>
        <w:jc w:val="both"/>
        <w:rPr>
          <w:rFonts w:ascii="Times New Roman" w:hAnsi="Times New Roman" w:cs="Times New Roman"/>
          <w:sz w:val="24"/>
          <w:szCs w:val="24"/>
          <w:lang w:val="en-GB"/>
        </w:rPr>
      </w:pPr>
      <w:r w:rsidRPr="00F911FF">
        <w:rPr>
          <w:rFonts w:ascii="Times New Roman" w:hAnsi="Times New Roman" w:cs="Times New Roman"/>
          <w:sz w:val="24"/>
          <w:szCs w:val="24"/>
        </w:rPr>
        <w:t xml:space="preserve">BEUREN, I. M. (org.). </w:t>
      </w:r>
      <w:r w:rsidRPr="00F911FF">
        <w:rPr>
          <w:rFonts w:ascii="Times New Roman" w:hAnsi="Times New Roman" w:cs="Times New Roman"/>
          <w:b/>
          <w:bCs/>
          <w:sz w:val="24"/>
          <w:szCs w:val="24"/>
        </w:rPr>
        <w:t xml:space="preserve">Como elaborar trabalhos monográficos em contabilidade: </w:t>
      </w:r>
      <w:r w:rsidRPr="00F911FF">
        <w:rPr>
          <w:rFonts w:ascii="Times New Roman" w:hAnsi="Times New Roman" w:cs="Times New Roman"/>
          <w:sz w:val="24"/>
          <w:szCs w:val="24"/>
        </w:rPr>
        <w:t xml:space="preserve">teoria e prática. </w:t>
      </w:r>
      <w:r w:rsidRPr="00FC4870">
        <w:rPr>
          <w:rFonts w:ascii="Times New Roman" w:hAnsi="Times New Roman" w:cs="Times New Roman"/>
          <w:sz w:val="24"/>
          <w:szCs w:val="24"/>
          <w:lang w:val="en-GB"/>
        </w:rPr>
        <w:t>3. ed. São Paulo: Atlas, 2006.</w:t>
      </w:r>
    </w:p>
    <w:p w14:paraId="3B8B9144" w14:textId="2C8C4ABE" w:rsidR="00C8116E" w:rsidRPr="00FC4870" w:rsidRDefault="00C8116E" w:rsidP="00D31AD2">
      <w:pPr>
        <w:spacing w:after="120" w:line="240" w:lineRule="auto"/>
        <w:jc w:val="both"/>
        <w:rPr>
          <w:rFonts w:ascii="Times New Roman" w:hAnsi="Times New Roman" w:cs="Times New Roman"/>
          <w:sz w:val="24"/>
          <w:szCs w:val="24"/>
          <w:lang w:val="en-GB"/>
        </w:rPr>
      </w:pPr>
      <w:r w:rsidRPr="00FC4870">
        <w:rPr>
          <w:rFonts w:ascii="Times New Roman" w:hAnsi="Times New Roman" w:cs="Times New Roman"/>
          <w:sz w:val="24"/>
          <w:szCs w:val="24"/>
          <w:lang w:val="en-GB"/>
        </w:rPr>
        <w:t xml:space="preserve">BREWER III, E.; KAUFMAN, G. G.; WALL, L. D. Bank capital ratios </w:t>
      </w:r>
      <w:proofErr w:type="spellStart"/>
      <w:r w:rsidRPr="00FC4870">
        <w:rPr>
          <w:rFonts w:ascii="Times New Roman" w:hAnsi="Times New Roman" w:cs="Times New Roman"/>
          <w:sz w:val="24"/>
          <w:szCs w:val="24"/>
          <w:lang w:val="en-GB"/>
        </w:rPr>
        <w:t>accross</w:t>
      </w:r>
      <w:proofErr w:type="spellEnd"/>
      <w:r w:rsidRPr="00FC4870">
        <w:rPr>
          <w:rFonts w:ascii="Times New Roman" w:hAnsi="Times New Roman" w:cs="Times New Roman"/>
          <w:sz w:val="24"/>
          <w:szCs w:val="24"/>
          <w:lang w:val="en-GB"/>
        </w:rPr>
        <w:t xml:space="preserve"> countries: why do they vary? </w:t>
      </w:r>
      <w:r w:rsidRPr="00FC4870">
        <w:rPr>
          <w:rFonts w:ascii="Times New Roman" w:hAnsi="Times New Roman" w:cs="Times New Roman"/>
          <w:b/>
          <w:sz w:val="24"/>
          <w:szCs w:val="24"/>
          <w:lang w:val="en-GB"/>
        </w:rPr>
        <w:t>Journal of Financial Services Research</w:t>
      </w:r>
      <w:r w:rsidRPr="00FC4870">
        <w:rPr>
          <w:rFonts w:ascii="Times New Roman" w:hAnsi="Times New Roman" w:cs="Times New Roman"/>
          <w:sz w:val="24"/>
          <w:szCs w:val="24"/>
          <w:lang w:val="en-GB"/>
        </w:rPr>
        <w:t>, v. 34, n. 2-3, p. 177-201, 2008.</w:t>
      </w:r>
    </w:p>
    <w:p w14:paraId="00A4ED28" w14:textId="3BDA02F7" w:rsidR="00783057" w:rsidRPr="00FC4870" w:rsidRDefault="00783057" w:rsidP="00D31AD2">
      <w:pPr>
        <w:spacing w:after="120" w:line="240" w:lineRule="auto"/>
        <w:jc w:val="both"/>
        <w:rPr>
          <w:rFonts w:ascii="Times New Roman" w:eastAsia="Times New Roman" w:hAnsi="Times New Roman" w:cs="Times New Roman"/>
          <w:sz w:val="24"/>
          <w:szCs w:val="24"/>
          <w:lang w:val="en-GB" w:eastAsia="pt-BR"/>
        </w:rPr>
      </w:pPr>
      <w:r w:rsidRPr="00FC4870">
        <w:rPr>
          <w:rFonts w:ascii="Times New Roman" w:hAnsi="Times New Roman" w:cs="Times New Roman"/>
          <w:sz w:val="24"/>
          <w:szCs w:val="24"/>
          <w:lang w:val="en-GB"/>
        </w:rPr>
        <w:t xml:space="preserve">BROOKS, C. </w:t>
      </w:r>
      <w:r w:rsidRPr="00FC4870">
        <w:rPr>
          <w:rFonts w:ascii="Times New Roman" w:hAnsi="Times New Roman" w:cs="Times New Roman"/>
          <w:b/>
          <w:sz w:val="24"/>
          <w:szCs w:val="24"/>
          <w:lang w:val="en-GB"/>
        </w:rPr>
        <w:t>Introductory econometrics for finance</w:t>
      </w:r>
      <w:r w:rsidRPr="00FC4870">
        <w:rPr>
          <w:rFonts w:ascii="Times New Roman" w:hAnsi="Times New Roman" w:cs="Times New Roman"/>
          <w:sz w:val="24"/>
          <w:szCs w:val="24"/>
          <w:lang w:val="en-GB"/>
        </w:rPr>
        <w:t>. 2. ed. Cambridge: Cambridge University Press, 2008.</w:t>
      </w:r>
    </w:p>
    <w:p w14:paraId="4CCB1221" w14:textId="6A3BEDE8" w:rsidR="009B68DB" w:rsidRPr="00FC4870" w:rsidRDefault="009B68DB" w:rsidP="00C8253C">
      <w:pPr>
        <w:pStyle w:val="TReferncias"/>
        <w:spacing w:after="120"/>
        <w:rPr>
          <w:szCs w:val="24"/>
        </w:rPr>
      </w:pPr>
      <w:r w:rsidRPr="00C362DB">
        <w:rPr>
          <w:szCs w:val="24"/>
        </w:rPr>
        <w:t>CERVO, A</w:t>
      </w:r>
      <w:r w:rsidR="009205BE">
        <w:rPr>
          <w:szCs w:val="24"/>
        </w:rPr>
        <w:t>.</w:t>
      </w:r>
      <w:r w:rsidRPr="00C362DB">
        <w:rPr>
          <w:szCs w:val="24"/>
        </w:rPr>
        <w:t xml:space="preserve"> L., BERVIAN, P</w:t>
      </w:r>
      <w:r w:rsidR="009205BE">
        <w:rPr>
          <w:szCs w:val="24"/>
        </w:rPr>
        <w:t>.</w:t>
      </w:r>
      <w:r w:rsidRPr="00C362DB">
        <w:rPr>
          <w:szCs w:val="24"/>
        </w:rPr>
        <w:t xml:space="preserve"> A. </w:t>
      </w:r>
      <w:r w:rsidRPr="00C362DB">
        <w:rPr>
          <w:b/>
          <w:szCs w:val="24"/>
        </w:rPr>
        <w:t>Metodologia científica</w:t>
      </w:r>
      <w:r w:rsidRPr="00C362DB">
        <w:rPr>
          <w:szCs w:val="24"/>
        </w:rPr>
        <w:t xml:space="preserve">. </w:t>
      </w:r>
      <w:r w:rsidRPr="00FC4870">
        <w:rPr>
          <w:szCs w:val="24"/>
        </w:rPr>
        <w:t>5.ed. São Paulo: Prentice Hall, 2002.</w:t>
      </w:r>
    </w:p>
    <w:p w14:paraId="4DAC13FE" w14:textId="15AAF8C9" w:rsidR="00CE1C35" w:rsidRDefault="00CE1C35" w:rsidP="00C8253C">
      <w:pPr>
        <w:pStyle w:val="TNormal"/>
        <w:spacing w:after="120" w:line="240" w:lineRule="auto"/>
        <w:rPr>
          <w:szCs w:val="24"/>
          <w:lang w:val="en-US"/>
        </w:rPr>
      </w:pPr>
      <w:r>
        <w:rPr>
          <w:szCs w:val="24"/>
          <w:lang w:val="en-US"/>
        </w:rPr>
        <w:t xml:space="preserve">DAMODARAN, A. </w:t>
      </w:r>
      <w:r w:rsidRPr="00FC4870">
        <w:rPr>
          <w:b/>
          <w:szCs w:val="24"/>
          <w:lang w:val="en-US"/>
        </w:rPr>
        <w:t>Investment valuation</w:t>
      </w:r>
      <w:r>
        <w:rPr>
          <w:szCs w:val="24"/>
          <w:lang w:val="en-US"/>
        </w:rPr>
        <w:t xml:space="preserve">: tools and techniques for determining the value of any asset. 3. </w:t>
      </w:r>
      <w:proofErr w:type="gramStart"/>
      <w:r>
        <w:rPr>
          <w:szCs w:val="24"/>
          <w:lang w:val="en-US"/>
        </w:rPr>
        <w:t>ed</w:t>
      </w:r>
      <w:proofErr w:type="gramEnd"/>
      <w:r>
        <w:rPr>
          <w:szCs w:val="24"/>
          <w:lang w:val="en-US"/>
        </w:rPr>
        <w:t>. New Jersey: Wiley &amp; Sons</w:t>
      </w:r>
      <w:r w:rsidR="00C57260">
        <w:rPr>
          <w:szCs w:val="24"/>
          <w:lang w:val="en-US"/>
        </w:rPr>
        <w:t>, 2012</w:t>
      </w:r>
      <w:r>
        <w:rPr>
          <w:szCs w:val="24"/>
          <w:lang w:val="en-US"/>
        </w:rPr>
        <w:t>.</w:t>
      </w:r>
    </w:p>
    <w:p w14:paraId="12089060" w14:textId="05196EEA" w:rsidR="005F7754" w:rsidRPr="00C362DB" w:rsidRDefault="005F7754" w:rsidP="00C8253C">
      <w:pPr>
        <w:pStyle w:val="TNormal"/>
        <w:spacing w:after="120" w:line="240" w:lineRule="auto"/>
        <w:rPr>
          <w:szCs w:val="24"/>
          <w:lang w:val="en-US"/>
        </w:rPr>
      </w:pPr>
      <w:r w:rsidRPr="00C362DB">
        <w:rPr>
          <w:szCs w:val="24"/>
          <w:lang w:val="en-US"/>
        </w:rPr>
        <w:t xml:space="preserve">DEMIRGÜÇ-KUNT, A.; DETRAGIACHE, E. Does deposit insurance increase banking system stability? An empirical investigation. </w:t>
      </w:r>
      <w:r w:rsidRPr="00C362DB">
        <w:rPr>
          <w:b/>
          <w:szCs w:val="24"/>
          <w:lang w:val="en-US"/>
        </w:rPr>
        <w:t>Journal of Monetary Economics</w:t>
      </w:r>
      <w:r w:rsidRPr="00C362DB">
        <w:rPr>
          <w:szCs w:val="24"/>
          <w:lang w:val="en-US"/>
        </w:rPr>
        <w:t xml:space="preserve">, v. 49, n. </w:t>
      </w:r>
      <w:proofErr w:type="gramStart"/>
      <w:r w:rsidRPr="00C362DB">
        <w:rPr>
          <w:szCs w:val="24"/>
          <w:lang w:val="en-US"/>
        </w:rPr>
        <w:t>7</w:t>
      </w:r>
      <w:proofErr w:type="gramEnd"/>
      <w:r w:rsidRPr="00C362DB">
        <w:rPr>
          <w:szCs w:val="24"/>
          <w:lang w:val="en-US"/>
        </w:rPr>
        <w:t>, p. 1373-1406, 2002.</w:t>
      </w:r>
    </w:p>
    <w:p w14:paraId="4E61F643" w14:textId="0CB74E4D" w:rsidR="0049745A" w:rsidRPr="00C362DB" w:rsidRDefault="0049745A" w:rsidP="00C8253C">
      <w:pPr>
        <w:pStyle w:val="TNormal"/>
        <w:spacing w:after="120" w:line="240" w:lineRule="auto"/>
        <w:rPr>
          <w:szCs w:val="24"/>
          <w:lang w:val="en-US"/>
        </w:rPr>
      </w:pPr>
      <w:r w:rsidRPr="00FC4870">
        <w:rPr>
          <w:szCs w:val="24"/>
        </w:rPr>
        <w:t>GIL, A</w:t>
      </w:r>
      <w:r w:rsidR="009205BE" w:rsidRPr="00FC4870">
        <w:rPr>
          <w:szCs w:val="24"/>
        </w:rPr>
        <w:t>.</w:t>
      </w:r>
      <w:r w:rsidRPr="00FC4870">
        <w:rPr>
          <w:szCs w:val="24"/>
        </w:rPr>
        <w:t xml:space="preserve"> C. </w:t>
      </w:r>
      <w:r w:rsidRPr="00C362DB">
        <w:rPr>
          <w:b/>
          <w:szCs w:val="24"/>
        </w:rPr>
        <w:t>Métodos e Técnicas de Pesquisa Social</w:t>
      </w:r>
      <w:r w:rsidRPr="00C362DB">
        <w:rPr>
          <w:szCs w:val="24"/>
        </w:rPr>
        <w:t xml:space="preserve">. </w:t>
      </w:r>
      <w:r w:rsidRPr="00C362DB">
        <w:rPr>
          <w:szCs w:val="24"/>
          <w:lang w:val="en-US"/>
        </w:rPr>
        <w:t>6. ed.</w:t>
      </w:r>
      <w:r w:rsidR="00112856" w:rsidRPr="00C362DB">
        <w:rPr>
          <w:szCs w:val="24"/>
          <w:lang w:val="en-US"/>
        </w:rPr>
        <w:t>,</w:t>
      </w:r>
      <w:r w:rsidRPr="00C362DB">
        <w:rPr>
          <w:szCs w:val="24"/>
          <w:lang w:val="en-US"/>
        </w:rPr>
        <w:t xml:space="preserve"> São Paulo: Atlas, 2008.</w:t>
      </w:r>
    </w:p>
    <w:p w14:paraId="375BC02F" w14:textId="4964E551" w:rsidR="00217541" w:rsidRDefault="00217541" w:rsidP="00C8253C">
      <w:pPr>
        <w:pStyle w:val="TNormal"/>
        <w:spacing w:after="120" w:line="240" w:lineRule="auto"/>
        <w:rPr>
          <w:szCs w:val="24"/>
          <w:lang w:val="en-US"/>
        </w:rPr>
      </w:pPr>
      <w:r>
        <w:rPr>
          <w:szCs w:val="24"/>
          <w:lang w:val="en-US"/>
        </w:rPr>
        <w:t>GROPP, R.</w:t>
      </w:r>
      <w:proofErr w:type="gramStart"/>
      <w:r>
        <w:rPr>
          <w:szCs w:val="24"/>
          <w:lang w:val="en-US"/>
        </w:rPr>
        <w:t>;</w:t>
      </w:r>
      <w:proofErr w:type="gramEnd"/>
      <w:r>
        <w:rPr>
          <w:szCs w:val="24"/>
          <w:lang w:val="en-US"/>
        </w:rPr>
        <w:t xml:space="preserve"> HEIDER, F. The determinants of bank capital structure. </w:t>
      </w:r>
      <w:r w:rsidRPr="00FC4870">
        <w:rPr>
          <w:b/>
          <w:szCs w:val="24"/>
          <w:lang w:val="en-US"/>
        </w:rPr>
        <w:t>Review of Finance</w:t>
      </w:r>
      <w:r>
        <w:rPr>
          <w:szCs w:val="24"/>
          <w:lang w:val="en-US"/>
        </w:rPr>
        <w:t xml:space="preserve">, v. 14, n. </w:t>
      </w:r>
      <w:proofErr w:type="gramStart"/>
      <w:r>
        <w:rPr>
          <w:szCs w:val="24"/>
          <w:lang w:val="en-US"/>
        </w:rPr>
        <w:t>4</w:t>
      </w:r>
      <w:proofErr w:type="gramEnd"/>
      <w:r>
        <w:rPr>
          <w:szCs w:val="24"/>
          <w:lang w:val="en-US"/>
        </w:rPr>
        <w:t>, p. 587-622, 2010.</w:t>
      </w:r>
    </w:p>
    <w:p w14:paraId="78CA95FA" w14:textId="4BF15130" w:rsidR="00C14F5E" w:rsidRDefault="00C14F5E" w:rsidP="00C8253C">
      <w:pPr>
        <w:pStyle w:val="TNormal"/>
        <w:spacing w:after="120" w:line="240" w:lineRule="auto"/>
        <w:rPr>
          <w:szCs w:val="24"/>
          <w:lang w:val="en-US"/>
        </w:rPr>
      </w:pPr>
      <w:r w:rsidRPr="00C362DB">
        <w:rPr>
          <w:szCs w:val="24"/>
          <w:lang w:val="en-US"/>
        </w:rPr>
        <w:t xml:space="preserve">HORTLUND, P. Do inflation and high taxes increase bank </w:t>
      </w:r>
      <w:proofErr w:type="gramStart"/>
      <w:r w:rsidRPr="00C362DB">
        <w:rPr>
          <w:szCs w:val="24"/>
          <w:lang w:val="en-US"/>
        </w:rPr>
        <w:t>leverage</w:t>
      </w:r>
      <w:proofErr w:type="gramEnd"/>
      <w:r w:rsidRPr="00C362DB">
        <w:rPr>
          <w:szCs w:val="24"/>
          <w:lang w:val="en-US"/>
        </w:rPr>
        <w:t xml:space="preserve">? Stockholm School of Economics, </w:t>
      </w:r>
      <w:r w:rsidRPr="00C362DB">
        <w:rPr>
          <w:b/>
          <w:szCs w:val="24"/>
          <w:lang w:val="en-US"/>
        </w:rPr>
        <w:t>Working Paper Series in Economics and Finance</w:t>
      </w:r>
      <w:r w:rsidRPr="00C362DB">
        <w:rPr>
          <w:szCs w:val="24"/>
          <w:lang w:val="en-US"/>
        </w:rPr>
        <w:t>, n. 612, 2005.</w:t>
      </w:r>
    </w:p>
    <w:p w14:paraId="4231AACD" w14:textId="40646194" w:rsidR="009205BE" w:rsidRPr="00FC4870" w:rsidRDefault="009205BE" w:rsidP="00C8253C">
      <w:pPr>
        <w:pStyle w:val="TNormal"/>
        <w:spacing w:after="120" w:line="240" w:lineRule="auto"/>
        <w:rPr>
          <w:szCs w:val="24"/>
        </w:rPr>
      </w:pPr>
      <w:r w:rsidRPr="00FC4870">
        <w:rPr>
          <w:szCs w:val="24"/>
        </w:rPr>
        <w:t xml:space="preserve">JUCÁ, M. N. </w:t>
      </w:r>
      <w:r w:rsidRPr="00FC4870">
        <w:rPr>
          <w:b/>
          <w:szCs w:val="24"/>
        </w:rPr>
        <w:t>Determinantes da Estrutura de Capital de Bancos Brasileiros e Norte-Americanos</w:t>
      </w:r>
      <w:r w:rsidRPr="00FC4870">
        <w:rPr>
          <w:szCs w:val="24"/>
        </w:rPr>
        <w:t>.</w:t>
      </w:r>
      <w:r w:rsidR="00524484" w:rsidRPr="00FC4870">
        <w:rPr>
          <w:szCs w:val="24"/>
        </w:rPr>
        <w:t xml:space="preserve"> 176 f. Tese (Doutorado) </w:t>
      </w:r>
      <w:r w:rsidR="00CB2CEC" w:rsidRPr="00FC4870">
        <w:rPr>
          <w:szCs w:val="24"/>
        </w:rPr>
        <w:t>–</w:t>
      </w:r>
      <w:r w:rsidR="00524484" w:rsidRPr="00FC4870">
        <w:rPr>
          <w:szCs w:val="24"/>
        </w:rPr>
        <w:t xml:space="preserve"> </w:t>
      </w:r>
      <w:r w:rsidR="00CB2CEC" w:rsidRPr="00FC4870">
        <w:rPr>
          <w:szCs w:val="24"/>
        </w:rPr>
        <w:t>Faculdade de Economia, Administração e Contabilidade, Universidade de São Paulo, 2011.</w:t>
      </w:r>
    </w:p>
    <w:p w14:paraId="60EB199F" w14:textId="11EE950E" w:rsidR="00DB366B" w:rsidRDefault="00DB366B" w:rsidP="00C8253C">
      <w:pPr>
        <w:pStyle w:val="TNormal"/>
        <w:spacing w:after="120" w:line="240" w:lineRule="auto"/>
        <w:rPr>
          <w:szCs w:val="24"/>
          <w:lang w:val="en-US"/>
        </w:rPr>
      </w:pPr>
      <w:r w:rsidRPr="00FC4870">
        <w:rPr>
          <w:szCs w:val="24"/>
        </w:rPr>
        <w:t xml:space="preserve">JUNIOR, J. N.; FUNCHAL, B. O efeito da diversificação corporativa na estrutura de capital das firmas brasileiras. </w:t>
      </w:r>
      <w:r w:rsidRPr="00FC4870">
        <w:rPr>
          <w:b/>
          <w:szCs w:val="24"/>
          <w:lang w:val="en-US"/>
        </w:rPr>
        <w:t xml:space="preserve">Revista Contabilidade e </w:t>
      </w:r>
      <w:proofErr w:type="spellStart"/>
      <w:r w:rsidRPr="00FC4870">
        <w:rPr>
          <w:b/>
          <w:szCs w:val="24"/>
          <w:lang w:val="en-US"/>
        </w:rPr>
        <w:t>Finanças</w:t>
      </w:r>
      <w:proofErr w:type="spellEnd"/>
      <w:r>
        <w:rPr>
          <w:szCs w:val="24"/>
          <w:lang w:val="en-US"/>
        </w:rPr>
        <w:t>, v. 24, n. 62, p. 154-161, 2013.</w:t>
      </w:r>
    </w:p>
    <w:p w14:paraId="7D34F1E4" w14:textId="7C4F44CD" w:rsidR="00F92CE3" w:rsidRDefault="00F92CE3" w:rsidP="00C8253C">
      <w:pPr>
        <w:pStyle w:val="TNormal"/>
        <w:spacing w:after="120" w:line="240" w:lineRule="auto"/>
        <w:rPr>
          <w:szCs w:val="24"/>
          <w:lang w:val="en-US"/>
        </w:rPr>
      </w:pPr>
      <w:r>
        <w:rPr>
          <w:szCs w:val="24"/>
          <w:lang w:val="en-US"/>
        </w:rPr>
        <w:t xml:space="preserve">KAHLE, K.; SHASTRI, K. Firm performance, capital structure, and the tax benefits of employee stock options. </w:t>
      </w:r>
      <w:r w:rsidRPr="00FC4870">
        <w:rPr>
          <w:b/>
          <w:szCs w:val="24"/>
          <w:lang w:val="en-US"/>
        </w:rPr>
        <w:t>The Journal of Financial and Quantitative Analysis</w:t>
      </w:r>
      <w:r>
        <w:rPr>
          <w:szCs w:val="24"/>
          <w:lang w:val="en-US"/>
        </w:rPr>
        <w:t>, v. 40, n. 1, p. 135-160, 2005.</w:t>
      </w:r>
    </w:p>
    <w:p w14:paraId="35CD3FF1" w14:textId="69FEA385" w:rsidR="00C93D3D" w:rsidRDefault="00C93D3D" w:rsidP="00C8253C">
      <w:pPr>
        <w:pStyle w:val="TNormal"/>
        <w:spacing w:after="120" w:line="240" w:lineRule="auto"/>
        <w:rPr>
          <w:szCs w:val="24"/>
          <w:lang w:val="en-US"/>
        </w:rPr>
      </w:pPr>
      <w:r>
        <w:rPr>
          <w:szCs w:val="24"/>
          <w:lang w:val="en-US"/>
        </w:rPr>
        <w:t xml:space="preserve">KLEFF, V.; WEBER, M. How do banks determine capital? Evidence from Germany. </w:t>
      </w:r>
      <w:r w:rsidRPr="00FC4870">
        <w:rPr>
          <w:b/>
          <w:szCs w:val="24"/>
          <w:lang w:val="en-US"/>
        </w:rPr>
        <w:t>German Economic Review</w:t>
      </w:r>
      <w:r>
        <w:rPr>
          <w:szCs w:val="24"/>
          <w:lang w:val="en-US"/>
        </w:rPr>
        <w:t>, v. 9, n. 3, p. 354-372, 2008.</w:t>
      </w:r>
    </w:p>
    <w:p w14:paraId="61A4C7FB" w14:textId="49126CF4" w:rsidR="007D49AD" w:rsidRDefault="007D49AD" w:rsidP="00C8253C">
      <w:pPr>
        <w:pStyle w:val="TNormal"/>
        <w:spacing w:after="120" w:line="240" w:lineRule="auto"/>
        <w:rPr>
          <w:szCs w:val="24"/>
          <w:lang w:val="en-US"/>
        </w:rPr>
      </w:pPr>
      <w:r>
        <w:rPr>
          <w:szCs w:val="24"/>
          <w:lang w:val="en-US"/>
        </w:rPr>
        <w:t xml:space="preserve">MYERS, S. C. The capital structure puzzle. </w:t>
      </w:r>
      <w:r w:rsidRPr="00FC4870">
        <w:rPr>
          <w:b/>
          <w:szCs w:val="24"/>
          <w:lang w:val="en-US"/>
        </w:rPr>
        <w:t>Journal of Financial Economics</w:t>
      </w:r>
      <w:r>
        <w:rPr>
          <w:szCs w:val="24"/>
          <w:lang w:val="en-US"/>
        </w:rPr>
        <w:t xml:space="preserve">, v. 39, n. </w:t>
      </w:r>
      <w:proofErr w:type="gramStart"/>
      <w:r>
        <w:rPr>
          <w:szCs w:val="24"/>
          <w:lang w:val="en-US"/>
        </w:rPr>
        <w:t>3</w:t>
      </w:r>
      <w:proofErr w:type="gramEnd"/>
      <w:r>
        <w:rPr>
          <w:szCs w:val="24"/>
          <w:lang w:val="en-US"/>
        </w:rPr>
        <w:t>, p. 574-592, 1984.</w:t>
      </w:r>
    </w:p>
    <w:p w14:paraId="62EAB6BD" w14:textId="75C1F58D" w:rsidR="007D49AD" w:rsidRDefault="007D49AD" w:rsidP="00C8253C">
      <w:pPr>
        <w:pStyle w:val="TNormal"/>
        <w:spacing w:after="120" w:line="240" w:lineRule="auto"/>
        <w:rPr>
          <w:szCs w:val="24"/>
          <w:lang w:val="en-US"/>
        </w:rPr>
      </w:pPr>
      <w:r>
        <w:rPr>
          <w:szCs w:val="24"/>
          <w:lang w:val="en-US"/>
        </w:rPr>
        <w:t>MYERS, S. C.; MAJLUF, N. Corporate financing and investment decisions when firms have information that investors do not</w:t>
      </w:r>
      <w:r w:rsidR="008F29AB">
        <w:rPr>
          <w:szCs w:val="24"/>
          <w:lang w:val="en-US"/>
        </w:rPr>
        <w:t xml:space="preserve"> have</w:t>
      </w:r>
      <w:r>
        <w:rPr>
          <w:szCs w:val="24"/>
          <w:lang w:val="en-US"/>
        </w:rPr>
        <w:t xml:space="preserve">. </w:t>
      </w:r>
      <w:r w:rsidRPr="00FC4870">
        <w:rPr>
          <w:b/>
          <w:szCs w:val="24"/>
          <w:lang w:val="en-US"/>
        </w:rPr>
        <w:t>Journal of Financial Economics</w:t>
      </w:r>
      <w:r>
        <w:rPr>
          <w:szCs w:val="24"/>
          <w:lang w:val="en-US"/>
        </w:rPr>
        <w:t xml:space="preserve">, v. 13, n. </w:t>
      </w:r>
      <w:proofErr w:type="gramStart"/>
      <w:r>
        <w:rPr>
          <w:szCs w:val="24"/>
          <w:lang w:val="en-US"/>
        </w:rPr>
        <w:t>2</w:t>
      </w:r>
      <w:proofErr w:type="gramEnd"/>
      <w:r>
        <w:rPr>
          <w:szCs w:val="24"/>
          <w:lang w:val="en-US"/>
        </w:rPr>
        <w:t>, p. 187-221, 1984.</w:t>
      </w:r>
    </w:p>
    <w:p w14:paraId="435B0640" w14:textId="3B0C5E38" w:rsidR="0033550F" w:rsidRDefault="0033550F" w:rsidP="00C8253C">
      <w:pPr>
        <w:pStyle w:val="TNormal"/>
        <w:spacing w:after="120" w:line="240" w:lineRule="auto"/>
        <w:rPr>
          <w:szCs w:val="24"/>
          <w:lang w:val="en-US"/>
        </w:rPr>
      </w:pPr>
      <w:r>
        <w:rPr>
          <w:szCs w:val="24"/>
          <w:lang w:val="en-US"/>
        </w:rPr>
        <w:t xml:space="preserve">OCTAVIA, M.; BROWN, R. Determinants of bank capital structure in developing countries: regulatory capital requirement versus the standard determinants of capital structure. </w:t>
      </w:r>
      <w:r w:rsidRPr="00FC4870">
        <w:rPr>
          <w:b/>
          <w:szCs w:val="24"/>
          <w:lang w:val="en-US"/>
        </w:rPr>
        <w:t>Journal of Emerging Markets</w:t>
      </w:r>
      <w:r>
        <w:rPr>
          <w:szCs w:val="24"/>
          <w:lang w:val="en-US"/>
        </w:rPr>
        <w:t>, v. 15, n. 1, p. 50-62, 2010.</w:t>
      </w:r>
    </w:p>
    <w:p w14:paraId="1F1C9E2D" w14:textId="2945FE2E" w:rsidR="00F92CE3" w:rsidRDefault="00F92CE3" w:rsidP="00C8253C">
      <w:pPr>
        <w:pStyle w:val="TNormal"/>
        <w:spacing w:after="120" w:line="240" w:lineRule="auto"/>
        <w:rPr>
          <w:szCs w:val="24"/>
          <w:lang w:val="en-US"/>
        </w:rPr>
      </w:pPr>
      <w:r>
        <w:rPr>
          <w:szCs w:val="24"/>
          <w:lang w:val="en-US"/>
        </w:rPr>
        <w:t xml:space="preserve">RAJAN, R.; ZINGALES, L. What do we know about capital structure? Some evidence from international data. </w:t>
      </w:r>
      <w:r w:rsidRPr="00FC4870">
        <w:rPr>
          <w:b/>
          <w:szCs w:val="24"/>
          <w:lang w:val="en-US"/>
        </w:rPr>
        <w:t>Journal of Finance</w:t>
      </w:r>
      <w:r>
        <w:rPr>
          <w:szCs w:val="24"/>
          <w:lang w:val="en-US"/>
        </w:rPr>
        <w:t xml:space="preserve">, v. 50, n. </w:t>
      </w:r>
      <w:proofErr w:type="gramStart"/>
      <w:r>
        <w:rPr>
          <w:szCs w:val="24"/>
          <w:lang w:val="en-US"/>
        </w:rPr>
        <w:t>5</w:t>
      </w:r>
      <w:proofErr w:type="gramEnd"/>
      <w:r>
        <w:rPr>
          <w:szCs w:val="24"/>
          <w:lang w:val="en-US"/>
        </w:rPr>
        <w:t>, p. 1421-1460, 1995.</w:t>
      </w:r>
    </w:p>
    <w:p w14:paraId="556DE0CC" w14:textId="160BA16A" w:rsidR="00F92A4A" w:rsidRDefault="00F92A4A" w:rsidP="00C8253C">
      <w:pPr>
        <w:pStyle w:val="TNormal"/>
        <w:spacing w:after="120" w:line="240" w:lineRule="auto"/>
        <w:rPr>
          <w:szCs w:val="24"/>
          <w:lang w:val="en-US"/>
        </w:rPr>
      </w:pPr>
      <w:r w:rsidRPr="00C362DB">
        <w:rPr>
          <w:szCs w:val="24"/>
          <w:lang w:val="en-US"/>
        </w:rPr>
        <w:lastRenderedPageBreak/>
        <w:t xml:space="preserve">SCHAECK, K.; CIHÁK, M. Banking competition and capital ratios. </w:t>
      </w:r>
      <w:r w:rsidRPr="00C362DB">
        <w:rPr>
          <w:b/>
          <w:szCs w:val="24"/>
          <w:lang w:val="en-US"/>
        </w:rPr>
        <w:t>European Financial Management</w:t>
      </w:r>
      <w:r w:rsidRPr="00C362DB">
        <w:rPr>
          <w:szCs w:val="24"/>
          <w:lang w:val="en-US"/>
        </w:rPr>
        <w:t>, v. 18, n. 5, p. 836-866, 2012.</w:t>
      </w:r>
    </w:p>
    <w:p w14:paraId="7FAAF39D" w14:textId="36993DCA" w:rsidR="008F29AB" w:rsidRDefault="008F29AB" w:rsidP="00C8253C">
      <w:pPr>
        <w:pStyle w:val="TNormal"/>
        <w:spacing w:after="120" w:line="240" w:lineRule="auto"/>
        <w:rPr>
          <w:szCs w:val="24"/>
          <w:lang w:val="en-US"/>
        </w:rPr>
      </w:pPr>
      <w:r>
        <w:rPr>
          <w:szCs w:val="24"/>
          <w:lang w:val="en-US"/>
        </w:rPr>
        <w:t xml:space="preserve">SHYAM-SUNDER, L.; MYERS, S. C. Testing static tradeoff against pecking order models of capital structure. </w:t>
      </w:r>
      <w:r w:rsidRPr="00FC4870">
        <w:rPr>
          <w:b/>
          <w:szCs w:val="24"/>
          <w:lang w:val="en-US"/>
        </w:rPr>
        <w:t>Journal of Financial Economics</w:t>
      </w:r>
      <w:r>
        <w:rPr>
          <w:szCs w:val="24"/>
          <w:lang w:val="en-US"/>
        </w:rPr>
        <w:t xml:space="preserve">, v. 51, n. </w:t>
      </w:r>
      <w:proofErr w:type="gramStart"/>
      <w:r>
        <w:rPr>
          <w:szCs w:val="24"/>
          <w:lang w:val="en-US"/>
        </w:rPr>
        <w:t>2</w:t>
      </w:r>
      <w:proofErr w:type="gramEnd"/>
      <w:r>
        <w:rPr>
          <w:szCs w:val="24"/>
          <w:lang w:val="en-US"/>
        </w:rPr>
        <w:t>, p. 219-244, 1999.</w:t>
      </w:r>
    </w:p>
    <w:p w14:paraId="4D21CC5D" w14:textId="77777777" w:rsidR="0022058B" w:rsidRDefault="0022058B" w:rsidP="0022058B">
      <w:pPr>
        <w:spacing w:after="120" w:line="240" w:lineRule="auto"/>
        <w:jc w:val="both"/>
        <w:rPr>
          <w:rFonts w:ascii="Times New Roman" w:hAnsi="Times New Roman" w:cs="Times New Roman"/>
          <w:sz w:val="24"/>
          <w:szCs w:val="24"/>
          <w:lang w:val="en-US"/>
        </w:rPr>
      </w:pPr>
      <w:r w:rsidRPr="00A74A6C">
        <w:rPr>
          <w:rFonts w:ascii="Times New Roman" w:hAnsi="Times New Roman" w:cs="Times New Roman"/>
          <w:sz w:val="24"/>
          <w:szCs w:val="24"/>
          <w:lang w:val="en-US"/>
        </w:rPr>
        <w:t xml:space="preserve">TRUJILLO-PONCE, A. What determines the profitability of banks? Evidence from Spain. </w:t>
      </w:r>
      <w:r w:rsidRPr="00A74A6C">
        <w:rPr>
          <w:rFonts w:ascii="Times New Roman" w:hAnsi="Times New Roman" w:cs="Times New Roman"/>
          <w:b/>
          <w:sz w:val="24"/>
          <w:szCs w:val="24"/>
          <w:lang w:val="en-US"/>
        </w:rPr>
        <w:t>Accounting and Finance</w:t>
      </w:r>
      <w:r w:rsidRPr="00A74A6C">
        <w:rPr>
          <w:rFonts w:ascii="Times New Roman" w:hAnsi="Times New Roman" w:cs="Times New Roman"/>
          <w:sz w:val="24"/>
          <w:szCs w:val="24"/>
          <w:lang w:val="en-US"/>
        </w:rPr>
        <w:t>, v. 53, p. 561-586, Jan. 2012.</w:t>
      </w:r>
    </w:p>
    <w:p w14:paraId="366891E8" w14:textId="031CD1BE" w:rsidR="004B601B" w:rsidRPr="00FC4870" w:rsidRDefault="004B601B" w:rsidP="00C8253C">
      <w:pPr>
        <w:pStyle w:val="TNormal"/>
        <w:spacing w:after="120" w:line="240" w:lineRule="auto"/>
        <w:rPr>
          <w:szCs w:val="24"/>
        </w:rPr>
      </w:pPr>
      <w:r w:rsidRPr="00FC4870">
        <w:rPr>
          <w:szCs w:val="24"/>
        </w:rPr>
        <w:t xml:space="preserve">YANAKA, G. M.; HOLLAND, M. Basiléia II e Exigência de Capital para Risco de Crédito dos Bancos no Brasil, </w:t>
      </w:r>
      <w:r w:rsidRPr="00FC4870">
        <w:rPr>
          <w:b/>
          <w:szCs w:val="24"/>
        </w:rPr>
        <w:t>Revista Brasileira de Finanças</w:t>
      </w:r>
      <w:r w:rsidRPr="00FC4870">
        <w:rPr>
          <w:szCs w:val="24"/>
        </w:rPr>
        <w:t>, v. 8, n. 2, p. 167-195, 2010.</w:t>
      </w:r>
    </w:p>
    <w:sectPr w:rsidR="004B601B" w:rsidRPr="00FC4870" w:rsidSect="002F551D">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AA4CE" w14:textId="77777777" w:rsidR="00E42801" w:rsidRDefault="00E42801" w:rsidP="00F045E0">
      <w:pPr>
        <w:spacing w:after="0" w:line="240" w:lineRule="auto"/>
      </w:pPr>
      <w:r>
        <w:separator/>
      </w:r>
    </w:p>
  </w:endnote>
  <w:endnote w:type="continuationSeparator" w:id="0">
    <w:p w14:paraId="1DAB2299" w14:textId="77777777" w:rsidR="00E42801" w:rsidRDefault="00E42801" w:rsidP="00F0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6BD7" w14:textId="77777777" w:rsidR="00E42801" w:rsidRDefault="00E42801" w:rsidP="00F045E0">
      <w:pPr>
        <w:spacing w:after="0" w:line="240" w:lineRule="auto"/>
      </w:pPr>
      <w:r>
        <w:separator/>
      </w:r>
    </w:p>
  </w:footnote>
  <w:footnote w:type="continuationSeparator" w:id="0">
    <w:p w14:paraId="41D49886" w14:textId="77777777" w:rsidR="00E42801" w:rsidRDefault="00E42801" w:rsidP="00F04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772862"/>
      <w:docPartObj>
        <w:docPartGallery w:val="Page Numbers (Top of Page)"/>
        <w:docPartUnique/>
      </w:docPartObj>
    </w:sdtPr>
    <w:sdtEndPr/>
    <w:sdtContent>
      <w:p w14:paraId="0CFB158C" w14:textId="77777777" w:rsidR="000E5031" w:rsidRDefault="000E5031">
        <w:pPr>
          <w:pStyle w:val="Cabealho"/>
          <w:jc w:val="right"/>
        </w:pPr>
        <w:r>
          <w:fldChar w:fldCharType="begin"/>
        </w:r>
        <w:r>
          <w:instrText>PAGE   \* MERGEFORMAT</w:instrText>
        </w:r>
        <w:r>
          <w:fldChar w:fldCharType="separate"/>
        </w:r>
        <w:r w:rsidR="00C04EF6">
          <w:rPr>
            <w:noProof/>
          </w:rPr>
          <w:t>14</w:t>
        </w:r>
        <w:r>
          <w:fldChar w:fldCharType="end"/>
        </w:r>
      </w:p>
    </w:sdtContent>
  </w:sdt>
  <w:p w14:paraId="17765ACD" w14:textId="77777777" w:rsidR="000E5031" w:rsidRDefault="000E50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2BA6"/>
    <w:multiLevelType w:val="hybridMultilevel"/>
    <w:tmpl w:val="D2E8C4DC"/>
    <w:lvl w:ilvl="0" w:tplc="2BE8B25A">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8241808"/>
    <w:multiLevelType w:val="hybridMultilevel"/>
    <w:tmpl w:val="37FAC902"/>
    <w:lvl w:ilvl="0" w:tplc="AF6EA3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8C830D4"/>
    <w:multiLevelType w:val="multilevel"/>
    <w:tmpl w:val="F3BE6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036886"/>
    <w:multiLevelType w:val="hybridMultilevel"/>
    <w:tmpl w:val="37FAC902"/>
    <w:lvl w:ilvl="0" w:tplc="AF6EA3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ACB5FA3"/>
    <w:multiLevelType w:val="hybridMultilevel"/>
    <w:tmpl w:val="67EA1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95B75EF"/>
    <w:multiLevelType w:val="hybridMultilevel"/>
    <w:tmpl w:val="1E700FD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25F65CA"/>
    <w:multiLevelType w:val="hybridMultilevel"/>
    <w:tmpl w:val="37FAC902"/>
    <w:lvl w:ilvl="0" w:tplc="AF6EA3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37771C3"/>
    <w:multiLevelType w:val="hybridMultilevel"/>
    <w:tmpl w:val="ADAAE6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1C"/>
    <w:rsid w:val="000027B2"/>
    <w:rsid w:val="00011879"/>
    <w:rsid w:val="00015F8E"/>
    <w:rsid w:val="00034D99"/>
    <w:rsid w:val="00034E8D"/>
    <w:rsid w:val="000418FF"/>
    <w:rsid w:val="00041EE3"/>
    <w:rsid w:val="00042F08"/>
    <w:rsid w:val="00045F34"/>
    <w:rsid w:val="00051521"/>
    <w:rsid w:val="00053723"/>
    <w:rsid w:val="00053B8A"/>
    <w:rsid w:val="00056FCD"/>
    <w:rsid w:val="00057F62"/>
    <w:rsid w:val="00063459"/>
    <w:rsid w:val="00063469"/>
    <w:rsid w:val="0006547E"/>
    <w:rsid w:val="00067F2D"/>
    <w:rsid w:val="000764F8"/>
    <w:rsid w:val="000810F3"/>
    <w:rsid w:val="00081481"/>
    <w:rsid w:val="000828D0"/>
    <w:rsid w:val="000829F1"/>
    <w:rsid w:val="00085D69"/>
    <w:rsid w:val="00086320"/>
    <w:rsid w:val="00090DA6"/>
    <w:rsid w:val="00092CDC"/>
    <w:rsid w:val="00093946"/>
    <w:rsid w:val="000A0139"/>
    <w:rsid w:val="000A08E8"/>
    <w:rsid w:val="000A3392"/>
    <w:rsid w:val="000A45D6"/>
    <w:rsid w:val="000A5043"/>
    <w:rsid w:val="000A52E1"/>
    <w:rsid w:val="000A79CA"/>
    <w:rsid w:val="000B0364"/>
    <w:rsid w:val="000B468D"/>
    <w:rsid w:val="000C2DA4"/>
    <w:rsid w:val="000C3FCF"/>
    <w:rsid w:val="000C6C18"/>
    <w:rsid w:val="000C6FA2"/>
    <w:rsid w:val="000D2E52"/>
    <w:rsid w:val="000D3906"/>
    <w:rsid w:val="000D51D7"/>
    <w:rsid w:val="000E1F6C"/>
    <w:rsid w:val="000E264A"/>
    <w:rsid w:val="000E5031"/>
    <w:rsid w:val="000F12A5"/>
    <w:rsid w:val="000F27BE"/>
    <w:rsid w:val="000F6839"/>
    <w:rsid w:val="0010012C"/>
    <w:rsid w:val="00101785"/>
    <w:rsid w:val="00101F37"/>
    <w:rsid w:val="00106234"/>
    <w:rsid w:val="00110034"/>
    <w:rsid w:val="0011050F"/>
    <w:rsid w:val="0011133E"/>
    <w:rsid w:val="00111F66"/>
    <w:rsid w:val="00112641"/>
    <w:rsid w:val="00112856"/>
    <w:rsid w:val="00116E27"/>
    <w:rsid w:val="0012226B"/>
    <w:rsid w:val="001224EA"/>
    <w:rsid w:val="0012291F"/>
    <w:rsid w:val="0012341C"/>
    <w:rsid w:val="00125182"/>
    <w:rsid w:val="00130371"/>
    <w:rsid w:val="001402BF"/>
    <w:rsid w:val="00141CAA"/>
    <w:rsid w:val="001432FC"/>
    <w:rsid w:val="00143BE9"/>
    <w:rsid w:val="00144C1C"/>
    <w:rsid w:val="001457FC"/>
    <w:rsid w:val="00150A17"/>
    <w:rsid w:val="00157A65"/>
    <w:rsid w:val="00160410"/>
    <w:rsid w:val="00160AD2"/>
    <w:rsid w:val="00167615"/>
    <w:rsid w:val="00173ACD"/>
    <w:rsid w:val="00174C35"/>
    <w:rsid w:val="001763DE"/>
    <w:rsid w:val="00180BF5"/>
    <w:rsid w:val="00183481"/>
    <w:rsid w:val="0018508B"/>
    <w:rsid w:val="00187859"/>
    <w:rsid w:val="00190224"/>
    <w:rsid w:val="001915C3"/>
    <w:rsid w:val="0019376B"/>
    <w:rsid w:val="001958AA"/>
    <w:rsid w:val="00195965"/>
    <w:rsid w:val="001A4986"/>
    <w:rsid w:val="001A73F3"/>
    <w:rsid w:val="001B202F"/>
    <w:rsid w:val="001B5412"/>
    <w:rsid w:val="001B6019"/>
    <w:rsid w:val="001B7925"/>
    <w:rsid w:val="001C4C6D"/>
    <w:rsid w:val="001C592E"/>
    <w:rsid w:val="001C64B8"/>
    <w:rsid w:val="001C6C91"/>
    <w:rsid w:val="001E0E69"/>
    <w:rsid w:val="001E295E"/>
    <w:rsid w:val="001E5248"/>
    <w:rsid w:val="001F2C3D"/>
    <w:rsid w:val="001F7A20"/>
    <w:rsid w:val="002052B1"/>
    <w:rsid w:val="00206CDD"/>
    <w:rsid w:val="00210EC7"/>
    <w:rsid w:val="00212FE9"/>
    <w:rsid w:val="002136B7"/>
    <w:rsid w:val="00217541"/>
    <w:rsid w:val="00217B13"/>
    <w:rsid w:val="0022058B"/>
    <w:rsid w:val="00243975"/>
    <w:rsid w:val="0024530C"/>
    <w:rsid w:val="00245706"/>
    <w:rsid w:val="00253F53"/>
    <w:rsid w:val="002641BB"/>
    <w:rsid w:val="00275049"/>
    <w:rsid w:val="0029380D"/>
    <w:rsid w:val="002A2D39"/>
    <w:rsid w:val="002A3436"/>
    <w:rsid w:val="002A5054"/>
    <w:rsid w:val="002A5555"/>
    <w:rsid w:val="002A5C67"/>
    <w:rsid w:val="002B14F2"/>
    <w:rsid w:val="002B1578"/>
    <w:rsid w:val="002B413C"/>
    <w:rsid w:val="002B4F0D"/>
    <w:rsid w:val="002C0508"/>
    <w:rsid w:val="002C118A"/>
    <w:rsid w:val="002C1251"/>
    <w:rsid w:val="002C1F3F"/>
    <w:rsid w:val="002C2DCD"/>
    <w:rsid w:val="002C6BC9"/>
    <w:rsid w:val="002C7FFD"/>
    <w:rsid w:val="002D4F5D"/>
    <w:rsid w:val="002E1E1F"/>
    <w:rsid w:val="002E26C9"/>
    <w:rsid w:val="002E4AFF"/>
    <w:rsid w:val="002E7AB8"/>
    <w:rsid w:val="002F1DD9"/>
    <w:rsid w:val="002F3BE2"/>
    <w:rsid w:val="002F42EA"/>
    <w:rsid w:val="002F551D"/>
    <w:rsid w:val="00301526"/>
    <w:rsid w:val="00303279"/>
    <w:rsid w:val="00304679"/>
    <w:rsid w:val="00306667"/>
    <w:rsid w:val="00313765"/>
    <w:rsid w:val="00316D6F"/>
    <w:rsid w:val="003216C8"/>
    <w:rsid w:val="00324007"/>
    <w:rsid w:val="00325BBB"/>
    <w:rsid w:val="003269CA"/>
    <w:rsid w:val="00327348"/>
    <w:rsid w:val="00332A69"/>
    <w:rsid w:val="00332BAB"/>
    <w:rsid w:val="0033550F"/>
    <w:rsid w:val="00340277"/>
    <w:rsid w:val="00340754"/>
    <w:rsid w:val="00345E6A"/>
    <w:rsid w:val="0036073D"/>
    <w:rsid w:val="00360E12"/>
    <w:rsid w:val="0036568B"/>
    <w:rsid w:val="00366200"/>
    <w:rsid w:val="00370615"/>
    <w:rsid w:val="00377512"/>
    <w:rsid w:val="0039199C"/>
    <w:rsid w:val="00395526"/>
    <w:rsid w:val="00397720"/>
    <w:rsid w:val="003A441C"/>
    <w:rsid w:val="003B1F96"/>
    <w:rsid w:val="003B4DD7"/>
    <w:rsid w:val="003B5600"/>
    <w:rsid w:val="003B6126"/>
    <w:rsid w:val="003D3DA1"/>
    <w:rsid w:val="003D59A2"/>
    <w:rsid w:val="003E1940"/>
    <w:rsid w:val="003E1A50"/>
    <w:rsid w:val="003E23AA"/>
    <w:rsid w:val="003E272B"/>
    <w:rsid w:val="003E3F7F"/>
    <w:rsid w:val="003E6077"/>
    <w:rsid w:val="003E65D7"/>
    <w:rsid w:val="003E78C4"/>
    <w:rsid w:val="003F1118"/>
    <w:rsid w:val="003F14C7"/>
    <w:rsid w:val="003F1D81"/>
    <w:rsid w:val="003F41E9"/>
    <w:rsid w:val="003F73E4"/>
    <w:rsid w:val="003F76C1"/>
    <w:rsid w:val="00400D6D"/>
    <w:rsid w:val="00410FBF"/>
    <w:rsid w:val="004159C7"/>
    <w:rsid w:val="00417D72"/>
    <w:rsid w:val="00422AAB"/>
    <w:rsid w:val="00424257"/>
    <w:rsid w:val="00425B92"/>
    <w:rsid w:val="00426CB3"/>
    <w:rsid w:val="004329A3"/>
    <w:rsid w:val="00432F4A"/>
    <w:rsid w:val="0043301A"/>
    <w:rsid w:val="00442135"/>
    <w:rsid w:val="00445730"/>
    <w:rsid w:val="00453A49"/>
    <w:rsid w:val="00455A43"/>
    <w:rsid w:val="00462D56"/>
    <w:rsid w:val="004633AF"/>
    <w:rsid w:val="00464D9D"/>
    <w:rsid w:val="0046718F"/>
    <w:rsid w:val="004777E0"/>
    <w:rsid w:val="004777EB"/>
    <w:rsid w:val="00480054"/>
    <w:rsid w:val="00482388"/>
    <w:rsid w:val="00483A55"/>
    <w:rsid w:val="00490367"/>
    <w:rsid w:val="00492F2E"/>
    <w:rsid w:val="00494A8F"/>
    <w:rsid w:val="00494F83"/>
    <w:rsid w:val="0049745A"/>
    <w:rsid w:val="004A07D4"/>
    <w:rsid w:val="004A1119"/>
    <w:rsid w:val="004A27B3"/>
    <w:rsid w:val="004B2DA2"/>
    <w:rsid w:val="004B4BB2"/>
    <w:rsid w:val="004B601B"/>
    <w:rsid w:val="004B6E4A"/>
    <w:rsid w:val="004C2D72"/>
    <w:rsid w:val="004D24DD"/>
    <w:rsid w:val="004D4441"/>
    <w:rsid w:val="004E2520"/>
    <w:rsid w:val="004E662E"/>
    <w:rsid w:val="004F3896"/>
    <w:rsid w:val="004F5358"/>
    <w:rsid w:val="004F7FE0"/>
    <w:rsid w:val="00502A17"/>
    <w:rsid w:val="00511B99"/>
    <w:rsid w:val="00514782"/>
    <w:rsid w:val="00516978"/>
    <w:rsid w:val="00517368"/>
    <w:rsid w:val="00524484"/>
    <w:rsid w:val="00532ECE"/>
    <w:rsid w:val="005370D7"/>
    <w:rsid w:val="00537B00"/>
    <w:rsid w:val="005436CA"/>
    <w:rsid w:val="00547AF7"/>
    <w:rsid w:val="00550E25"/>
    <w:rsid w:val="00552555"/>
    <w:rsid w:val="005559D1"/>
    <w:rsid w:val="00565980"/>
    <w:rsid w:val="005723BC"/>
    <w:rsid w:val="005756AF"/>
    <w:rsid w:val="00575BAB"/>
    <w:rsid w:val="00575C3D"/>
    <w:rsid w:val="00575E19"/>
    <w:rsid w:val="005768C1"/>
    <w:rsid w:val="005801DA"/>
    <w:rsid w:val="005825D5"/>
    <w:rsid w:val="00590C31"/>
    <w:rsid w:val="00593390"/>
    <w:rsid w:val="00595196"/>
    <w:rsid w:val="00596277"/>
    <w:rsid w:val="005A4012"/>
    <w:rsid w:val="005B05F8"/>
    <w:rsid w:val="005B1DE7"/>
    <w:rsid w:val="005B2C33"/>
    <w:rsid w:val="005B5C54"/>
    <w:rsid w:val="005C3F64"/>
    <w:rsid w:val="005C556A"/>
    <w:rsid w:val="005C676F"/>
    <w:rsid w:val="005C73FA"/>
    <w:rsid w:val="005D0639"/>
    <w:rsid w:val="005E0778"/>
    <w:rsid w:val="005E3E49"/>
    <w:rsid w:val="005F7754"/>
    <w:rsid w:val="00600F4F"/>
    <w:rsid w:val="006010D2"/>
    <w:rsid w:val="00604FCB"/>
    <w:rsid w:val="006163E1"/>
    <w:rsid w:val="006247C8"/>
    <w:rsid w:val="00630667"/>
    <w:rsid w:val="0063082A"/>
    <w:rsid w:val="006313DB"/>
    <w:rsid w:val="0063515A"/>
    <w:rsid w:val="00637EF9"/>
    <w:rsid w:val="006418A6"/>
    <w:rsid w:val="006420BA"/>
    <w:rsid w:val="00651D43"/>
    <w:rsid w:val="00662B91"/>
    <w:rsid w:val="00666358"/>
    <w:rsid w:val="00666479"/>
    <w:rsid w:val="00666D1A"/>
    <w:rsid w:val="0066724B"/>
    <w:rsid w:val="0067098C"/>
    <w:rsid w:val="00672B18"/>
    <w:rsid w:val="00672C9D"/>
    <w:rsid w:val="00673F40"/>
    <w:rsid w:val="00675D8C"/>
    <w:rsid w:val="00676AF2"/>
    <w:rsid w:val="00685DA2"/>
    <w:rsid w:val="00690447"/>
    <w:rsid w:val="00694857"/>
    <w:rsid w:val="006968F3"/>
    <w:rsid w:val="00697A37"/>
    <w:rsid w:val="006A651A"/>
    <w:rsid w:val="006A668B"/>
    <w:rsid w:val="006A756D"/>
    <w:rsid w:val="006B1DFB"/>
    <w:rsid w:val="006B3DFF"/>
    <w:rsid w:val="006B7218"/>
    <w:rsid w:val="006B775E"/>
    <w:rsid w:val="006D00F8"/>
    <w:rsid w:val="006D3910"/>
    <w:rsid w:val="006E45C4"/>
    <w:rsid w:val="006F07A4"/>
    <w:rsid w:val="006F4E5C"/>
    <w:rsid w:val="006F5565"/>
    <w:rsid w:val="007030C8"/>
    <w:rsid w:val="00707189"/>
    <w:rsid w:val="00707275"/>
    <w:rsid w:val="00711935"/>
    <w:rsid w:val="00716687"/>
    <w:rsid w:val="00722A8A"/>
    <w:rsid w:val="00722AD5"/>
    <w:rsid w:val="007261EB"/>
    <w:rsid w:val="00726E64"/>
    <w:rsid w:val="00732F3F"/>
    <w:rsid w:val="00745042"/>
    <w:rsid w:val="00763F5D"/>
    <w:rsid w:val="007640FA"/>
    <w:rsid w:val="00766A46"/>
    <w:rsid w:val="0076723D"/>
    <w:rsid w:val="00774CDE"/>
    <w:rsid w:val="0078032A"/>
    <w:rsid w:val="0078227E"/>
    <w:rsid w:val="00783057"/>
    <w:rsid w:val="007840DD"/>
    <w:rsid w:val="007913AD"/>
    <w:rsid w:val="007942A4"/>
    <w:rsid w:val="00794A38"/>
    <w:rsid w:val="007970C1"/>
    <w:rsid w:val="00797B57"/>
    <w:rsid w:val="007B2458"/>
    <w:rsid w:val="007B4FA6"/>
    <w:rsid w:val="007C05EF"/>
    <w:rsid w:val="007C0625"/>
    <w:rsid w:val="007C32E9"/>
    <w:rsid w:val="007C5128"/>
    <w:rsid w:val="007C5BC3"/>
    <w:rsid w:val="007C716F"/>
    <w:rsid w:val="007D3302"/>
    <w:rsid w:val="007D49AD"/>
    <w:rsid w:val="007E0ED4"/>
    <w:rsid w:val="007E6FD4"/>
    <w:rsid w:val="007F576C"/>
    <w:rsid w:val="007F580C"/>
    <w:rsid w:val="008007E8"/>
    <w:rsid w:val="00801A3C"/>
    <w:rsid w:val="00802150"/>
    <w:rsid w:val="008023B4"/>
    <w:rsid w:val="0080508A"/>
    <w:rsid w:val="00806DF7"/>
    <w:rsid w:val="00806EC5"/>
    <w:rsid w:val="008119BD"/>
    <w:rsid w:val="0081293D"/>
    <w:rsid w:val="00836172"/>
    <w:rsid w:val="00837A13"/>
    <w:rsid w:val="00843DA5"/>
    <w:rsid w:val="008441AF"/>
    <w:rsid w:val="00844CCA"/>
    <w:rsid w:val="00846B52"/>
    <w:rsid w:val="00846D5A"/>
    <w:rsid w:val="008512C8"/>
    <w:rsid w:val="008627E6"/>
    <w:rsid w:val="00864843"/>
    <w:rsid w:val="00865A60"/>
    <w:rsid w:val="00870D17"/>
    <w:rsid w:val="0087205A"/>
    <w:rsid w:val="00884310"/>
    <w:rsid w:val="008875E0"/>
    <w:rsid w:val="0088780E"/>
    <w:rsid w:val="008A05F4"/>
    <w:rsid w:val="008A25AD"/>
    <w:rsid w:val="008A5DDD"/>
    <w:rsid w:val="008B0A52"/>
    <w:rsid w:val="008C0F60"/>
    <w:rsid w:val="008C1F91"/>
    <w:rsid w:val="008C38BA"/>
    <w:rsid w:val="008C43B3"/>
    <w:rsid w:val="008D5A23"/>
    <w:rsid w:val="008D77D8"/>
    <w:rsid w:val="008F29AB"/>
    <w:rsid w:val="008F4D69"/>
    <w:rsid w:val="008F7BD1"/>
    <w:rsid w:val="0090530C"/>
    <w:rsid w:val="00905D54"/>
    <w:rsid w:val="00914871"/>
    <w:rsid w:val="0091578C"/>
    <w:rsid w:val="00915F3E"/>
    <w:rsid w:val="00916AC8"/>
    <w:rsid w:val="009205BE"/>
    <w:rsid w:val="00923041"/>
    <w:rsid w:val="009266DF"/>
    <w:rsid w:val="00927731"/>
    <w:rsid w:val="00931588"/>
    <w:rsid w:val="009332B6"/>
    <w:rsid w:val="00937796"/>
    <w:rsid w:val="00943127"/>
    <w:rsid w:val="0094450C"/>
    <w:rsid w:val="00947913"/>
    <w:rsid w:val="00947F3A"/>
    <w:rsid w:val="00950329"/>
    <w:rsid w:val="00955217"/>
    <w:rsid w:val="009573B4"/>
    <w:rsid w:val="009610A6"/>
    <w:rsid w:val="00964015"/>
    <w:rsid w:val="00967EA5"/>
    <w:rsid w:val="00970C10"/>
    <w:rsid w:val="00974937"/>
    <w:rsid w:val="00975D6A"/>
    <w:rsid w:val="00977DA5"/>
    <w:rsid w:val="00981477"/>
    <w:rsid w:val="00981EFF"/>
    <w:rsid w:val="009841E4"/>
    <w:rsid w:val="009849CE"/>
    <w:rsid w:val="00991B99"/>
    <w:rsid w:val="00997DEC"/>
    <w:rsid w:val="009A3791"/>
    <w:rsid w:val="009A545A"/>
    <w:rsid w:val="009A596F"/>
    <w:rsid w:val="009A62A5"/>
    <w:rsid w:val="009B0FA4"/>
    <w:rsid w:val="009B4BB0"/>
    <w:rsid w:val="009B68DB"/>
    <w:rsid w:val="009B6EC1"/>
    <w:rsid w:val="009C2D72"/>
    <w:rsid w:val="009C55C8"/>
    <w:rsid w:val="009D66A2"/>
    <w:rsid w:val="009E4F7B"/>
    <w:rsid w:val="009F0A1C"/>
    <w:rsid w:val="009F0F26"/>
    <w:rsid w:val="009F4B64"/>
    <w:rsid w:val="009F5FE8"/>
    <w:rsid w:val="009F6557"/>
    <w:rsid w:val="009F6922"/>
    <w:rsid w:val="009F7410"/>
    <w:rsid w:val="00A05413"/>
    <w:rsid w:val="00A07D65"/>
    <w:rsid w:val="00A10EF4"/>
    <w:rsid w:val="00A1290F"/>
    <w:rsid w:val="00A17DCD"/>
    <w:rsid w:val="00A244DD"/>
    <w:rsid w:val="00A30DC1"/>
    <w:rsid w:val="00A311DA"/>
    <w:rsid w:val="00A3280F"/>
    <w:rsid w:val="00A422BF"/>
    <w:rsid w:val="00A449AF"/>
    <w:rsid w:val="00A5130E"/>
    <w:rsid w:val="00A5713A"/>
    <w:rsid w:val="00A606C9"/>
    <w:rsid w:val="00A6077A"/>
    <w:rsid w:val="00A61469"/>
    <w:rsid w:val="00A63D92"/>
    <w:rsid w:val="00A72247"/>
    <w:rsid w:val="00A806B7"/>
    <w:rsid w:val="00A816A8"/>
    <w:rsid w:val="00A82769"/>
    <w:rsid w:val="00A84171"/>
    <w:rsid w:val="00A87C83"/>
    <w:rsid w:val="00A9243C"/>
    <w:rsid w:val="00A96B1E"/>
    <w:rsid w:val="00AA226A"/>
    <w:rsid w:val="00AA289F"/>
    <w:rsid w:val="00AA612C"/>
    <w:rsid w:val="00AB4655"/>
    <w:rsid w:val="00AD476B"/>
    <w:rsid w:val="00AD6C2E"/>
    <w:rsid w:val="00AD7793"/>
    <w:rsid w:val="00AE45BE"/>
    <w:rsid w:val="00AF35FD"/>
    <w:rsid w:val="00AF7ADE"/>
    <w:rsid w:val="00B02D60"/>
    <w:rsid w:val="00B0417B"/>
    <w:rsid w:val="00B04B02"/>
    <w:rsid w:val="00B052F5"/>
    <w:rsid w:val="00B121E3"/>
    <w:rsid w:val="00B1379D"/>
    <w:rsid w:val="00B1588F"/>
    <w:rsid w:val="00B16DA0"/>
    <w:rsid w:val="00B1726E"/>
    <w:rsid w:val="00B17D66"/>
    <w:rsid w:val="00B210C8"/>
    <w:rsid w:val="00B27C55"/>
    <w:rsid w:val="00B42BA0"/>
    <w:rsid w:val="00B4444C"/>
    <w:rsid w:val="00B44ADA"/>
    <w:rsid w:val="00B45FBF"/>
    <w:rsid w:val="00B51017"/>
    <w:rsid w:val="00B52B1E"/>
    <w:rsid w:val="00B54111"/>
    <w:rsid w:val="00B63A46"/>
    <w:rsid w:val="00B7056A"/>
    <w:rsid w:val="00B82A18"/>
    <w:rsid w:val="00B94BB7"/>
    <w:rsid w:val="00B95238"/>
    <w:rsid w:val="00BA6167"/>
    <w:rsid w:val="00BA63B2"/>
    <w:rsid w:val="00BB1230"/>
    <w:rsid w:val="00BB128A"/>
    <w:rsid w:val="00BB473E"/>
    <w:rsid w:val="00BB61FC"/>
    <w:rsid w:val="00BB7DD9"/>
    <w:rsid w:val="00BC00B4"/>
    <w:rsid w:val="00BC483D"/>
    <w:rsid w:val="00BC5DA8"/>
    <w:rsid w:val="00BD0B05"/>
    <w:rsid w:val="00BD19ED"/>
    <w:rsid w:val="00BF1372"/>
    <w:rsid w:val="00BF1CDD"/>
    <w:rsid w:val="00C038DF"/>
    <w:rsid w:val="00C04EF6"/>
    <w:rsid w:val="00C1235E"/>
    <w:rsid w:val="00C13328"/>
    <w:rsid w:val="00C143AD"/>
    <w:rsid w:val="00C14F5E"/>
    <w:rsid w:val="00C17F93"/>
    <w:rsid w:val="00C222DD"/>
    <w:rsid w:val="00C22A64"/>
    <w:rsid w:val="00C2461C"/>
    <w:rsid w:val="00C2704C"/>
    <w:rsid w:val="00C3015B"/>
    <w:rsid w:val="00C31EAD"/>
    <w:rsid w:val="00C33B44"/>
    <w:rsid w:val="00C33E2C"/>
    <w:rsid w:val="00C34417"/>
    <w:rsid w:val="00C362DB"/>
    <w:rsid w:val="00C42E32"/>
    <w:rsid w:val="00C44425"/>
    <w:rsid w:val="00C44F50"/>
    <w:rsid w:val="00C476E5"/>
    <w:rsid w:val="00C478EB"/>
    <w:rsid w:val="00C47B2F"/>
    <w:rsid w:val="00C47CD0"/>
    <w:rsid w:val="00C57260"/>
    <w:rsid w:val="00C63FC6"/>
    <w:rsid w:val="00C663AD"/>
    <w:rsid w:val="00C71A05"/>
    <w:rsid w:val="00C731DD"/>
    <w:rsid w:val="00C8116E"/>
    <w:rsid w:val="00C8253C"/>
    <w:rsid w:val="00C8409B"/>
    <w:rsid w:val="00C864DF"/>
    <w:rsid w:val="00C9129C"/>
    <w:rsid w:val="00C917D8"/>
    <w:rsid w:val="00C92D70"/>
    <w:rsid w:val="00C9399F"/>
    <w:rsid w:val="00C93D3D"/>
    <w:rsid w:val="00C9496B"/>
    <w:rsid w:val="00CA013D"/>
    <w:rsid w:val="00CB0F51"/>
    <w:rsid w:val="00CB1ACC"/>
    <w:rsid w:val="00CB2CEC"/>
    <w:rsid w:val="00CB3695"/>
    <w:rsid w:val="00CB604E"/>
    <w:rsid w:val="00CC34B7"/>
    <w:rsid w:val="00CE1C35"/>
    <w:rsid w:val="00CE413B"/>
    <w:rsid w:val="00CE5124"/>
    <w:rsid w:val="00CE5DB4"/>
    <w:rsid w:val="00CE61EF"/>
    <w:rsid w:val="00CF133B"/>
    <w:rsid w:val="00CF3955"/>
    <w:rsid w:val="00D0123B"/>
    <w:rsid w:val="00D0502E"/>
    <w:rsid w:val="00D069C1"/>
    <w:rsid w:val="00D06E6B"/>
    <w:rsid w:val="00D07E03"/>
    <w:rsid w:val="00D10828"/>
    <w:rsid w:val="00D11B5A"/>
    <w:rsid w:val="00D15AC0"/>
    <w:rsid w:val="00D15CEE"/>
    <w:rsid w:val="00D15FA4"/>
    <w:rsid w:val="00D2180F"/>
    <w:rsid w:val="00D30537"/>
    <w:rsid w:val="00D31AD2"/>
    <w:rsid w:val="00D3496B"/>
    <w:rsid w:val="00D34BE3"/>
    <w:rsid w:val="00D355D7"/>
    <w:rsid w:val="00D36643"/>
    <w:rsid w:val="00D462B7"/>
    <w:rsid w:val="00D51F55"/>
    <w:rsid w:val="00D56E30"/>
    <w:rsid w:val="00D60253"/>
    <w:rsid w:val="00D635DD"/>
    <w:rsid w:val="00D648BD"/>
    <w:rsid w:val="00D64982"/>
    <w:rsid w:val="00D709DC"/>
    <w:rsid w:val="00D71E7F"/>
    <w:rsid w:val="00D7431A"/>
    <w:rsid w:val="00D746CB"/>
    <w:rsid w:val="00D82745"/>
    <w:rsid w:val="00D8526A"/>
    <w:rsid w:val="00D923A2"/>
    <w:rsid w:val="00D93653"/>
    <w:rsid w:val="00D94D65"/>
    <w:rsid w:val="00DA2B2B"/>
    <w:rsid w:val="00DA57E3"/>
    <w:rsid w:val="00DB0AE9"/>
    <w:rsid w:val="00DB157E"/>
    <w:rsid w:val="00DB199B"/>
    <w:rsid w:val="00DB366B"/>
    <w:rsid w:val="00DB4EB4"/>
    <w:rsid w:val="00DB67FE"/>
    <w:rsid w:val="00DC18BD"/>
    <w:rsid w:val="00DC1B57"/>
    <w:rsid w:val="00DC2206"/>
    <w:rsid w:val="00DC3DF3"/>
    <w:rsid w:val="00DD3344"/>
    <w:rsid w:val="00DD39CE"/>
    <w:rsid w:val="00DD6877"/>
    <w:rsid w:val="00DE185D"/>
    <w:rsid w:val="00DE1A6C"/>
    <w:rsid w:val="00DE1A8B"/>
    <w:rsid w:val="00DE3F73"/>
    <w:rsid w:val="00DE4518"/>
    <w:rsid w:val="00DE5D4F"/>
    <w:rsid w:val="00DF2089"/>
    <w:rsid w:val="00DF3004"/>
    <w:rsid w:val="00DF435D"/>
    <w:rsid w:val="00DF61CF"/>
    <w:rsid w:val="00DF6CAC"/>
    <w:rsid w:val="00E05A25"/>
    <w:rsid w:val="00E1054F"/>
    <w:rsid w:val="00E2160A"/>
    <w:rsid w:val="00E256AE"/>
    <w:rsid w:val="00E26F65"/>
    <w:rsid w:val="00E2777D"/>
    <w:rsid w:val="00E30735"/>
    <w:rsid w:val="00E3168D"/>
    <w:rsid w:val="00E32FDC"/>
    <w:rsid w:val="00E348C8"/>
    <w:rsid w:val="00E35331"/>
    <w:rsid w:val="00E36219"/>
    <w:rsid w:val="00E37AAD"/>
    <w:rsid w:val="00E42801"/>
    <w:rsid w:val="00E433E1"/>
    <w:rsid w:val="00E43779"/>
    <w:rsid w:val="00E46CB0"/>
    <w:rsid w:val="00E57CC3"/>
    <w:rsid w:val="00E616B9"/>
    <w:rsid w:val="00E636D1"/>
    <w:rsid w:val="00E65AC2"/>
    <w:rsid w:val="00E73478"/>
    <w:rsid w:val="00E751FF"/>
    <w:rsid w:val="00E7522A"/>
    <w:rsid w:val="00E83EC0"/>
    <w:rsid w:val="00E84F08"/>
    <w:rsid w:val="00E87E2A"/>
    <w:rsid w:val="00E90A80"/>
    <w:rsid w:val="00E91B48"/>
    <w:rsid w:val="00E92D01"/>
    <w:rsid w:val="00EA035A"/>
    <w:rsid w:val="00EB15CD"/>
    <w:rsid w:val="00EB43D6"/>
    <w:rsid w:val="00EB787F"/>
    <w:rsid w:val="00EC0EB8"/>
    <w:rsid w:val="00EC36D2"/>
    <w:rsid w:val="00EC65B0"/>
    <w:rsid w:val="00EC72F9"/>
    <w:rsid w:val="00EC76FE"/>
    <w:rsid w:val="00ED4797"/>
    <w:rsid w:val="00ED6866"/>
    <w:rsid w:val="00ED763B"/>
    <w:rsid w:val="00F01582"/>
    <w:rsid w:val="00F02F04"/>
    <w:rsid w:val="00F045E0"/>
    <w:rsid w:val="00F12F15"/>
    <w:rsid w:val="00F14B19"/>
    <w:rsid w:val="00F23777"/>
    <w:rsid w:val="00F36BF8"/>
    <w:rsid w:val="00F42F07"/>
    <w:rsid w:val="00F4338F"/>
    <w:rsid w:val="00F442B1"/>
    <w:rsid w:val="00F50CD3"/>
    <w:rsid w:val="00F51847"/>
    <w:rsid w:val="00F5440F"/>
    <w:rsid w:val="00F55A35"/>
    <w:rsid w:val="00F6564C"/>
    <w:rsid w:val="00F66F19"/>
    <w:rsid w:val="00F71AFA"/>
    <w:rsid w:val="00F74415"/>
    <w:rsid w:val="00F77C36"/>
    <w:rsid w:val="00F8106B"/>
    <w:rsid w:val="00F87E2A"/>
    <w:rsid w:val="00F92A4A"/>
    <w:rsid w:val="00F92CE3"/>
    <w:rsid w:val="00F9461B"/>
    <w:rsid w:val="00F94AAF"/>
    <w:rsid w:val="00FA670D"/>
    <w:rsid w:val="00FA7CEE"/>
    <w:rsid w:val="00FA7D72"/>
    <w:rsid w:val="00FB05E4"/>
    <w:rsid w:val="00FB34A1"/>
    <w:rsid w:val="00FB5ACC"/>
    <w:rsid w:val="00FB6282"/>
    <w:rsid w:val="00FB68E1"/>
    <w:rsid w:val="00FC1E62"/>
    <w:rsid w:val="00FC2816"/>
    <w:rsid w:val="00FC43D6"/>
    <w:rsid w:val="00FC46D3"/>
    <w:rsid w:val="00FC4870"/>
    <w:rsid w:val="00FC5F7B"/>
    <w:rsid w:val="00FC6BA2"/>
    <w:rsid w:val="00FC76A9"/>
    <w:rsid w:val="00FD3AAE"/>
    <w:rsid w:val="00FD45E4"/>
    <w:rsid w:val="00FE0F2C"/>
    <w:rsid w:val="00FE4EF4"/>
    <w:rsid w:val="00FE7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7F59"/>
  <w15:docId w15:val="{E0953B4E-3C89-4C9F-96F3-3B6F05ED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10"/>
  </w:style>
  <w:style w:type="paragraph" w:styleId="Ttulo2">
    <w:name w:val="heading 2"/>
    <w:basedOn w:val="Normal"/>
    <w:next w:val="Normal"/>
    <w:link w:val="Ttulo2Char"/>
    <w:uiPriority w:val="9"/>
    <w:qFormat/>
    <w:rsid w:val="002A5C67"/>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F51847"/>
    <w:pPr>
      <w:ind w:left="720"/>
      <w:contextualSpacing/>
    </w:pPr>
  </w:style>
  <w:style w:type="paragraph" w:customStyle="1" w:styleId="Default">
    <w:name w:val="Default"/>
    <w:rsid w:val="008875E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Normal">
    <w:name w:val="TNormal"/>
    <w:basedOn w:val="Normal"/>
    <w:rsid w:val="009B68DB"/>
    <w:pPr>
      <w:spacing w:after="0" w:line="360" w:lineRule="auto"/>
      <w:jc w:val="both"/>
    </w:pPr>
    <w:rPr>
      <w:rFonts w:ascii="Times New Roman" w:eastAsia="Times New Roman" w:hAnsi="Times New Roman" w:cs="Times New Roman"/>
      <w:sz w:val="24"/>
      <w:szCs w:val="20"/>
      <w:lang w:eastAsia="pt-BR"/>
    </w:rPr>
  </w:style>
  <w:style w:type="paragraph" w:customStyle="1" w:styleId="TReferncias">
    <w:name w:val="TReferências"/>
    <w:basedOn w:val="TNormal"/>
    <w:next w:val="TNormal"/>
    <w:rsid w:val="009B68DB"/>
    <w:pPr>
      <w:spacing w:line="240" w:lineRule="auto"/>
    </w:pPr>
  </w:style>
  <w:style w:type="character" w:customStyle="1" w:styleId="Ttulo2Char">
    <w:name w:val="Título 2 Char"/>
    <w:basedOn w:val="Fontepargpadro"/>
    <w:link w:val="Ttulo2"/>
    <w:uiPriority w:val="9"/>
    <w:rsid w:val="002A5C67"/>
    <w:rPr>
      <w:rFonts w:ascii="Cambria" w:eastAsia="Times New Roman" w:hAnsi="Cambria" w:cs="Times New Roman"/>
      <w:b/>
      <w:bCs/>
      <w:i/>
      <w:iCs/>
      <w:sz w:val="28"/>
      <w:szCs w:val="28"/>
      <w:lang w:val="x-none"/>
    </w:rPr>
  </w:style>
  <w:style w:type="character" w:styleId="TextodoEspaoReservado">
    <w:name w:val="Placeholder Text"/>
    <w:basedOn w:val="Fontepargpadro"/>
    <w:uiPriority w:val="99"/>
    <w:semiHidden/>
    <w:rsid w:val="00D60253"/>
    <w:rPr>
      <w:color w:val="808080"/>
    </w:rPr>
  </w:style>
  <w:style w:type="paragraph" w:styleId="Cabealho">
    <w:name w:val="header"/>
    <w:basedOn w:val="Normal"/>
    <w:link w:val="CabealhoChar"/>
    <w:uiPriority w:val="99"/>
    <w:unhideWhenUsed/>
    <w:rsid w:val="00F045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45E0"/>
  </w:style>
  <w:style w:type="paragraph" w:styleId="Rodap">
    <w:name w:val="footer"/>
    <w:basedOn w:val="Normal"/>
    <w:link w:val="RodapChar"/>
    <w:uiPriority w:val="99"/>
    <w:unhideWhenUsed/>
    <w:rsid w:val="00F045E0"/>
    <w:pPr>
      <w:tabs>
        <w:tab w:val="center" w:pos="4252"/>
        <w:tab w:val="right" w:pos="8504"/>
      </w:tabs>
      <w:spacing w:after="0" w:line="240" w:lineRule="auto"/>
    </w:pPr>
  </w:style>
  <w:style w:type="character" w:customStyle="1" w:styleId="RodapChar">
    <w:name w:val="Rodapé Char"/>
    <w:basedOn w:val="Fontepargpadro"/>
    <w:link w:val="Rodap"/>
    <w:uiPriority w:val="99"/>
    <w:rsid w:val="00F045E0"/>
  </w:style>
  <w:style w:type="table" w:styleId="Tabelacomgrade">
    <w:name w:val="Table Grid"/>
    <w:basedOn w:val="Tabelanormal"/>
    <w:uiPriority w:val="39"/>
    <w:rsid w:val="00E8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052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52B1"/>
    <w:rPr>
      <w:rFonts w:ascii="Segoe UI" w:hAnsi="Segoe UI" w:cs="Segoe UI"/>
      <w:sz w:val="18"/>
      <w:szCs w:val="18"/>
    </w:rPr>
  </w:style>
  <w:style w:type="character" w:styleId="Refdecomentrio">
    <w:name w:val="annotation reference"/>
    <w:basedOn w:val="Fontepargpadro"/>
    <w:uiPriority w:val="99"/>
    <w:semiHidden/>
    <w:unhideWhenUsed/>
    <w:rsid w:val="00206CDD"/>
    <w:rPr>
      <w:sz w:val="16"/>
      <w:szCs w:val="16"/>
    </w:rPr>
  </w:style>
  <w:style w:type="paragraph" w:styleId="Textodecomentrio">
    <w:name w:val="annotation text"/>
    <w:basedOn w:val="Normal"/>
    <w:link w:val="TextodecomentrioChar"/>
    <w:uiPriority w:val="99"/>
    <w:semiHidden/>
    <w:unhideWhenUsed/>
    <w:rsid w:val="00206CD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6CDD"/>
    <w:rPr>
      <w:sz w:val="20"/>
      <w:szCs w:val="20"/>
    </w:rPr>
  </w:style>
  <w:style w:type="paragraph" w:styleId="Assuntodocomentrio">
    <w:name w:val="annotation subject"/>
    <w:basedOn w:val="Textodecomentrio"/>
    <w:next w:val="Textodecomentrio"/>
    <w:link w:val="AssuntodocomentrioChar"/>
    <w:uiPriority w:val="99"/>
    <w:semiHidden/>
    <w:unhideWhenUsed/>
    <w:rsid w:val="00206CDD"/>
    <w:rPr>
      <w:b/>
      <w:bCs/>
    </w:rPr>
  </w:style>
  <w:style w:type="character" w:customStyle="1" w:styleId="AssuntodocomentrioChar">
    <w:name w:val="Assunto do comentário Char"/>
    <w:basedOn w:val="TextodecomentrioChar"/>
    <w:link w:val="Assuntodocomentrio"/>
    <w:uiPriority w:val="99"/>
    <w:semiHidden/>
    <w:rsid w:val="00206CDD"/>
    <w:rPr>
      <w:b/>
      <w:bCs/>
      <w:sz w:val="20"/>
      <w:szCs w:val="20"/>
    </w:rPr>
  </w:style>
  <w:style w:type="character" w:styleId="Hyperlink">
    <w:name w:val="Hyperlink"/>
    <w:basedOn w:val="Fontepargpadro"/>
    <w:uiPriority w:val="99"/>
    <w:unhideWhenUsed/>
    <w:rsid w:val="006D00F8"/>
    <w:rPr>
      <w:color w:val="0563C1" w:themeColor="hyperlink"/>
      <w:u w:val="single"/>
    </w:rPr>
  </w:style>
  <w:style w:type="paragraph" w:customStyle="1" w:styleId="ecxmsonormal">
    <w:name w:val="ecxmsonormal"/>
    <w:basedOn w:val="Normal"/>
    <w:rsid w:val="00A607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6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1213">
      <w:bodyDiv w:val="1"/>
      <w:marLeft w:val="0"/>
      <w:marRight w:val="0"/>
      <w:marTop w:val="0"/>
      <w:marBottom w:val="0"/>
      <w:divBdr>
        <w:top w:val="none" w:sz="0" w:space="0" w:color="auto"/>
        <w:left w:val="none" w:sz="0" w:space="0" w:color="auto"/>
        <w:bottom w:val="none" w:sz="0" w:space="0" w:color="auto"/>
        <w:right w:val="none" w:sz="0" w:space="0" w:color="auto"/>
      </w:divBdr>
    </w:div>
    <w:div w:id="1073814166">
      <w:bodyDiv w:val="1"/>
      <w:marLeft w:val="0"/>
      <w:marRight w:val="0"/>
      <w:marTop w:val="0"/>
      <w:marBottom w:val="0"/>
      <w:divBdr>
        <w:top w:val="none" w:sz="0" w:space="0" w:color="auto"/>
        <w:left w:val="none" w:sz="0" w:space="0" w:color="auto"/>
        <w:bottom w:val="none" w:sz="0" w:space="0" w:color="auto"/>
        <w:right w:val="none" w:sz="0" w:space="0" w:color="auto"/>
      </w:divBdr>
    </w:div>
    <w:div w:id="1381704120">
      <w:bodyDiv w:val="1"/>
      <w:marLeft w:val="0"/>
      <w:marRight w:val="0"/>
      <w:marTop w:val="0"/>
      <w:marBottom w:val="0"/>
      <w:divBdr>
        <w:top w:val="none" w:sz="0" w:space="0" w:color="auto"/>
        <w:left w:val="none" w:sz="0" w:space="0" w:color="auto"/>
        <w:bottom w:val="none" w:sz="0" w:space="0" w:color="auto"/>
        <w:right w:val="none" w:sz="0" w:space="0" w:color="auto"/>
      </w:divBdr>
    </w:div>
    <w:div w:id="15838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A74B-2E5A-4BA8-85E0-AD2D9179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7040</Words>
  <Characters>38016</Characters>
  <Application>Microsoft Office Word</Application>
  <DocSecurity>0</DocSecurity>
  <Lines>316</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2015-07-28T01:33:00Z</dcterms:created>
  <dcterms:modified xsi:type="dcterms:W3CDTF">2015-07-28T02:08:00Z</dcterms:modified>
</cp:coreProperties>
</file>